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4F02" w:rsidR="00B251B6" w:rsidP="00B251B6" w:rsidRDefault="00B251B6" w14:paraId="3CE70465" w14:textId="77777777">
      <w:pPr>
        <w:pStyle w:val="PRT"/>
      </w:pPr>
      <w:commentRangeStart w:id="0"/>
      <w:r>
        <w:t xml:space="preserve">GENERAL </w:t>
      </w:r>
      <w:commentRangeEnd w:id="0"/>
      <w:r w:rsidR="00943B1F">
        <w:rPr>
          <w:rStyle w:val="CommentReference"/>
          <w:b w:val="0"/>
          <w:snapToGrid w:val="0"/>
        </w:rPr>
        <w:commentReference w:id="0"/>
      </w:r>
    </w:p>
    <w:p w:rsidR="00B251B6" w:rsidP="00B251B6" w:rsidRDefault="00B251B6" w14:paraId="05A077E1" w14:textId="77777777">
      <w:pPr>
        <w:pStyle w:val="ART"/>
      </w:pPr>
      <w:r>
        <w:t xml:space="preserve">SUMMARY </w:t>
      </w:r>
    </w:p>
    <w:p w:rsidR="00B251B6" w:rsidP="1ECE42FD" w:rsidRDefault="00B251B6" w14:paraId="78239667" w14:textId="54493A51">
      <w:pPr>
        <w:pStyle w:val="PR1"/>
        <w:tabs>
          <w:tab w:val="clear" w:pos="900"/>
          <w:tab w:val="num" w:pos="540"/>
        </w:tabs>
        <w:ind w:left="540" w:hanging="396"/>
      </w:pPr>
      <w:r>
        <w:t xml:space="preserve">Section </w:t>
      </w:r>
      <w:r w:rsidR="00ED53E8">
        <w:t>i</w:t>
      </w:r>
      <w:r>
        <w:t>ncludes</w:t>
      </w:r>
      <w:r w:rsidR="00ED53E8">
        <w:t>:</w:t>
      </w:r>
      <w:r>
        <w:t xml:space="preserve"> </w:t>
      </w:r>
    </w:p>
    <w:p w:rsidR="00B251B6" w:rsidP="00B251B6" w:rsidRDefault="00B251B6" w14:paraId="084DD8F2" w14:textId="1978273D">
      <w:pPr>
        <w:pStyle w:val="PR2"/>
      </w:pPr>
      <w:r>
        <w:t xml:space="preserve">Summary of </w:t>
      </w:r>
      <w:r w:rsidR="00697914">
        <w:t>the Housing Development Consortium’s</w:t>
      </w:r>
      <w:r w:rsidR="00DB5089">
        <w:t xml:space="preserve"> (HDC)</w:t>
      </w:r>
      <w:r w:rsidR="00697914">
        <w:t xml:space="preserve"> Exemplary Buildings</w:t>
      </w:r>
      <w:r w:rsidR="00F83D41">
        <w:t xml:space="preserve"> </w:t>
      </w:r>
      <w:r w:rsidR="004906BD">
        <w:t xml:space="preserve">Program (EBP) </w:t>
      </w:r>
      <w:r w:rsidR="00F83D41">
        <w:t>Guidelines</w:t>
      </w:r>
      <w:r w:rsidR="00697914">
        <w:t xml:space="preserve"> recommendations for:</w:t>
      </w:r>
    </w:p>
    <w:p w:rsidR="00697914" w:rsidP="00697914" w:rsidRDefault="5449A9B1" w14:paraId="767BC48D" w14:textId="688D3218">
      <w:pPr>
        <w:pStyle w:val="PR3"/>
      </w:pPr>
      <w:r>
        <w:t xml:space="preserve">Early Integrative Design </w:t>
      </w:r>
    </w:p>
    <w:p w:rsidR="00697914" w:rsidP="00697914" w:rsidRDefault="07A52054" w14:paraId="25F59417" w14:textId="777C0BB0">
      <w:pPr>
        <w:pStyle w:val="PR3"/>
      </w:pPr>
      <w:r>
        <w:t>Balanced Ventilation with Heat Recovery</w:t>
      </w:r>
    </w:p>
    <w:p w:rsidR="00F83D41" w:rsidP="00697914" w:rsidRDefault="07A52054" w14:paraId="20C1C6EE" w14:textId="27A96FDB">
      <w:pPr>
        <w:pStyle w:val="PR3"/>
      </w:pPr>
      <w:r>
        <w:t>Solar Integration</w:t>
      </w:r>
    </w:p>
    <w:p w:rsidR="00786514" w:rsidP="00786514" w:rsidRDefault="07A52054" w14:paraId="25E90064" w14:textId="77777777">
      <w:pPr>
        <w:pStyle w:val="PR3"/>
      </w:pPr>
      <w:r w:rsidRPr="00786514">
        <w:t>Wall Assemblies</w:t>
      </w:r>
    </w:p>
    <w:p w:rsidR="00695CEA" w:rsidP="00695CEA" w:rsidRDefault="07A52054" w14:paraId="10731413" w14:textId="77777777">
      <w:pPr>
        <w:pStyle w:val="PR3"/>
        <w:tabs>
          <w:tab w:val="num" w:pos="540"/>
        </w:tabs>
      </w:pPr>
      <w:r>
        <w:t>Domestic Hot Water</w:t>
      </w:r>
      <w:r w:rsidR="320805EE">
        <w:t xml:space="preserve"> &amp; Water Management Guidelines</w:t>
      </w:r>
      <w:bookmarkStart w:name="_Hlk122603487" w:id="1"/>
    </w:p>
    <w:p w:rsidR="00695CEA" w:rsidP="00695CEA" w:rsidRDefault="7C0836A6" w14:paraId="7ED23653" w14:textId="77777777">
      <w:pPr>
        <w:pStyle w:val="PR3"/>
        <w:tabs>
          <w:tab w:val="num" w:pos="540"/>
        </w:tabs>
      </w:pPr>
      <w:r>
        <w:t>Healthy Materials</w:t>
      </w:r>
      <w:bookmarkEnd w:id="1"/>
    </w:p>
    <w:p w:rsidR="00B251B6" w:rsidP="00D33CE2" w:rsidRDefault="00B251B6" w14:paraId="642C37C2" w14:textId="6D0BF566">
      <w:pPr>
        <w:pStyle w:val="PR2"/>
      </w:pPr>
      <w:r>
        <w:t xml:space="preserve">Related sections: </w:t>
      </w:r>
    </w:p>
    <w:p w:rsidR="00B251B6" w:rsidP="00D33CE2" w:rsidRDefault="00B251B6" w14:paraId="69570DD3" w14:textId="5C7E3D84">
      <w:pPr>
        <w:pStyle w:val="PR3"/>
      </w:pPr>
      <w:commentRangeStart w:id="2"/>
      <w:r>
        <w:t xml:space="preserve">Section </w:t>
      </w:r>
      <w:r w:rsidR="00C33AED">
        <w:t>XX</w:t>
      </w:r>
      <w:r w:rsidR="002D65BE">
        <w:t>XXXX</w:t>
      </w:r>
    </w:p>
    <w:p w:rsidR="002D65BE" w:rsidP="00D33CE2" w:rsidRDefault="002D65BE" w14:paraId="4343DD95" w14:textId="7FEB422A">
      <w:pPr>
        <w:pStyle w:val="PR3"/>
      </w:pPr>
      <w:r>
        <w:t>Section XXXXXX</w:t>
      </w:r>
    </w:p>
    <w:p w:rsidRPr="00D71906" w:rsidR="002D65BE" w:rsidP="00D33CE2" w:rsidRDefault="07A52054" w14:paraId="65F77657" w14:textId="1BBD5781">
      <w:pPr>
        <w:pStyle w:val="PR3"/>
      </w:pPr>
      <w:r>
        <w:t>Section XXXXXX</w:t>
      </w:r>
      <w:commentRangeEnd w:id="2"/>
      <w:r w:rsidR="0074389A">
        <w:rPr>
          <w:rStyle w:val="CommentReference"/>
          <w:rFonts w:cs="Arial"/>
          <w:snapToGrid w:val="0"/>
        </w:rPr>
        <w:commentReference w:id="2"/>
      </w:r>
    </w:p>
    <w:p w:rsidR="00B251B6" w:rsidP="00B251B6" w:rsidRDefault="00B251B6" w14:paraId="4BBA4A24" w14:textId="77777777">
      <w:pPr>
        <w:pStyle w:val="ART"/>
      </w:pPr>
      <w:r>
        <w:t xml:space="preserve">REFERENCES </w:t>
      </w:r>
    </w:p>
    <w:p w:rsidR="001C3B33" w:rsidP="00786514" w:rsidRDefault="001C3B33" w14:paraId="67923E26" w14:textId="3184C3A7">
      <w:pPr>
        <w:pStyle w:val="PR1"/>
        <w:tabs>
          <w:tab w:val="clear" w:pos="900"/>
          <w:tab w:val="num" w:pos="540"/>
        </w:tabs>
        <w:ind w:left="540" w:hanging="396"/>
      </w:pPr>
      <w:r>
        <w:t>HDC Guidelines Series</w:t>
      </w:r>
      <w:r w:rsidR="00693F86">
        <w:t xml:space="preserve">: The </w:t>
      </w:r>
      <w:r w:rsidR="00913A64">
        <w:t xml:space="preserve">guideline </w:t>
      </w:r>
      <w:r w:rsidR="00693F86">
        <w:t xml:space="preserve">documents </w:t>
      </w:r>
      <w:r w:rsidR="00A45255">
        <w:t>listed bel</w:t>
      </w:r>
      <w:r w:rsidR="002D797E">
        <w:t>o</w:t>
      </w:r>
      <w:r w:rsidR="00A45255">
        <w:t xml:space="preserve">w </w:t>
      </w:r>
      <w:r w:rsidR="00693F86">
        <w:t xml:space="preserve">can be found on </w:t>
      </w:r>
      <w:r w:rsidR="002D194E">
        <w:t xml:space="preserve">our </w:t>
      </w:r>
      <w:r w:rsidR="001D711A">
        <w:t>webpage use</w:t>
      </w:r>
      <w:r w:rsidR="008B4D9B">
        <w:t>d</w:t>
      </w:r>
      <w:r w:rsidR="001D711A">
        <w:t xml:space="preserve"> to </w:t>
      </w:r>
      <w:r w:rsidR="008B4D9B">
        <w:t xml:space="preserve">disseminate </w:t>
      </w:r>
      <w:r w:rsidRPr="001D711A" w:rsidR="001D711A">
        <w:t xml:space="preserve">an ever-growing list of the practical, application-oriented products created by the </w:t>
      </w:r>
      <w:r w:rsidR="004906BD">
        <w:t>EBP</w:t>
      </w:r>
      <w:r w:rsidR="008B4D9B">
        <w:t xml:space="preserve">, </w:t>
      </w:r>
      <w:hyperlink w:history="1" r:id="rId15">
        <w:r w:rsidRPr="00D3175D" w:rsidR="002D797E">
          <w:rPr>
            <w:rStyle w:val="Hyperlink"/>
          </w:rPr>
          <w:t>https://exemplarybuilding.housingconsortium.org/our-results-practical-tools/</w:t>
        </w:r>
      </w:hyperlink>
      <w:r w:rsidR="002D797E">
        <w:t xml:space="preserve"> </w:t>
      </w:r>
    </w:p>
    <w:p w:rsidR="00B251B6" w:rsidP="00786514" w:rsidRDefault="00F83D41" w14:paraId="44BB35E6" w14:textId="2AADC604">
      <w:pPr>
        <w:pStyle w:val="PR2"/>
      </w:pPr>
      <w:r>
        <w:t xml:space="preserve">HDC </w:t>
      </w:r>
      <w:hyperlink w:history="1" r:id="rId16">
        <w:r>
          <w:t>Balanced</w:t>
        </w:r>
      </w:hyperlink>
      <w:r>
        <w:t xml:space="preserve"> Ventilation with Heat Recovery Guidelines:</w:t>
      </w:r>
      <w:r w:rsidR="00D92271">
        <w:t xml:space="preserve"> </w:t>
      </w:r>
      <w:hyperlink w:history="1" r:id="rId17">
        <w:r w:rsidRPr="001B1BC5" w:rsidR="00D92271">
          <w:rPr>
            <w:rStyle w:val="Hyperlink"/>
          </w:rPr>
          <w:t>https://exemplarybuilding.housingconsortium.org/wp-content/uploads/sites/2/2021/12/HDC-EBP-BVHR-Guidelines_-v.1.1-12.2021.pdf</w:t>
        </w:r>
      </w:hyperlink>
      <w:r>
        <w:t xml:space="preserve"> </w:t>
      </w:r>
    </w:p>
    <w:p w:rsidR="00B251B6" w:rsidP="00786514" w:rsidRDefault="00F83D41" w14:paraId="5D0F84D5" w14:textId="11AB8912">
      <w:pPr>
        <w:pStyle w:val="PR2"/>
      </w:pPr>
      <w:r>
        <w:t xml:space="preserve">HDC Early Integrative Design Guidelines: </w:t>
      </w:r>
      <w:r w:rsidR="002D797E">
        <w:br/>
      </w:r>
      <w:hyperlink w:history="1" r:id="rId18">
        <w:r w:rsidRPr="002D797E" w:rsidR="002D797E">
          <w:rPr>
            <w:rStyle w:val="Hyperlink"/>
          </w:rPr>
          <w:t>https://exemplarybuilding.housingconsortium.org/wp-content/uploads/sites/2/2021/05/HDC-EBP-Guidelines-for-EID_-v.1.0-May-2021.pdf</w:t>
        </w:r>
      </w:hyperlink>
      <w:r>
        <w:t xml:space="preserve"> </w:t>
      </w:r>
    </w:p>
    <w:p w:rsidR="00F83D41" w:rsidP="00786514" w:rsidRDefault="00F83D41" w14:paraId="2203FBDC" w14:textId="69585D79">
      <w:pPr>
        <w:pStyle w:val="PR2"/>
      </w:pPr>
      <w:r>
        <w:t xml:space="preserve">HDC Solar </w:t>
      </w:r>
      <w:r w:rsidR="00D92271">
        <w:t>Integration</w:t>
      </w:r>
      <w:r>
        <w:t xml:space="preserve"> </w:t>
      </w:r>
      <w:r w:rsidR="00D92271">
        <w:t xml:space="preserve">Guidelines: </w:t>
      </w:r>
      <w:r w:rsidR="002D797E">
        <w:br/>
      </w:r>
      <w:hyperlink w:history="1" r:id="rId19">
        <w:r w:rsidRPr="002D797E" w:rsidR="002D797E">
          <w:rPr>
            <w:rStyle w:val="Hyperlink"/>
          </w:rPr>
          <w:t>https://exemplarybuilding.housingconsortium.org/wp-content/uploads/sites/2/2021/01/HDC-EBP-Guidelines-for-Solar-Integration_-v.1.0.3-January-2021.pdf</w:t>
        </w:r>
      </w:hyperlink>
      <w:r w:rsidR="00D92271">
        <w:t xml:space="preserve"> </w:t>
      </w:r>
    </w:p>
    <w:p w:rsidR="0063701E" w:rsidP="001C3B33" w:rsidRDefault="00F83D41" w14:paraId="40054745" w14:textId="77777777">
      <w:pPr>
        <w:pStyle w:val="PR2"/>
      </w:pPr>
      <w:r>
        <w:t>HDC Wall Assemblies Guidelines:</w:t>
      </w:r>
      <w:r w:rsidR="00D92271">
        <w:t xml:space="preserve"> </w:t>
      </w:r>
    </w:p>
    <w:p w:rsidR="00F83D41" w:rsidP="00786514" w:rsidRDefault="006F745A" w14:paraId="5170C2EF" w14:textId="15E93C99">
      <w:pPr>
        <w:pStyle w:val="PR2"/>
      </w:pPr>
      <w:hyperlink w:history="1" r:id="rId20">
        <w:r w:rsidRPr="1ECE42FD" w:rsidR="07A52054">
          <w:rPr>
            <w:rStyle w:val="Hyperlink"/>
          </w:rPr>
          <w:t>https://exemplarybuilding.housingconsortium.org/wp-content/uploads/sites/2/2022/10/HDC-EBP_-Guidelines-for-Wall-Assemblies_-v.1.1-October-2022.pdf</w:t>
        </w:r>
      </w:hyperlink>
      <w:r w:rsidR="07A52054">
        <w:t xml:space="preserve"> </w:t>
      </w:r>
    </w:p>
    <w:p w:rsidR="00D92271" w:rsidRDefault="07A52054" w14:paraId="6D1EDDF4" w14:textId="2FC66A96">
      <w:pPr>
        <w:pStyle w:val="PR2"/>
      </w:pPr>
      <w:r>
        <w:t xml:space="preserve">HDC Domestic Hot Water &amp; Water Management Guidelines: </w:t>
      </w:r>
      <w:hyperlink w:history="1" r:id="rId21">
        <w:r w:rsidRPr="0874A2FB">
          <w:rPr>
            <w:rStyle w:val="Hyperlink"/>
          </w:rPr>
          <w:t>https://exemplarybuilding.housingconsortium.org/wp-content/uploads/sites/2/2022/09/EBP-Guidelines-for-Water_-v.1.0_-2022.09.26.pdf</w:t>
        </w:r>
      </w:hyperlink>
      <w:r>
        <w:t xml:space="preserve"> </w:t>
      </w:r>
    </w:p>
    <w:p w:rsidR="006354F3" w:rsidP="00593BC0" w:rsidRDefault="003B716D" w14:paraId="2F928DB1" w14:textId="5185103E">
      <w:pPr>
        <w:pStyle w:val="PR2"/>
      </w:pPr>
      <w:r>
        <w:t xml:space="preserve">HDC </w:t>
      </w:r>
      <w:r w:rsidRPr="003B716D">
        <w:t>Healthy Materials</w:t>
      </w:r>
      <w:r>
        <w:t xml:space="preserve"> Guidelines:</w:t>
      </w:r>
      <w:r w:rsidR="006354F3">
        <w:t xml:space="preserve"> </w:t>
      </w:r>
      <w:r w:rsidR="00A05D15">
        <w:br/>
      </w:r>
      <w:hyperlink w:history="1" r:id="rId22">
        <w:r w:rsidRPr="005D660D" w:rsidR="00593BC0">
          <w:rPr>
            <w:rStyle w:val="Hyperlink"/>
          </w:rPr>
          <w:t>https://exemplarybuilding.housingconsortium.org/wp-content/uploads/sites/2/2023/05/HDC_EBP-Healthy-Material_23-0129_v9.xlsx</w:t>
        </w:r>
      </w:hyperlink>
      <w:r w:rsidR="00593BC0">
        <w:br/>
      </w:r>
    </w:p>
    <w:p w:rsidRPr="00EC163B" w:rsidR="005313EA" w:rsidP="00B251B6" w:rsidRDefault="005313EA" w14:paraId="105708C3" w14:textId="0DAE4E49">
      <w:pPr>
        <w:pStyle w:val="ART"/>
      </w:pPr>
      <w:r w:rsidRPr="00786514">
        <w:t>EARLY INTEGRATIVE DESIG</w:t>
      </w:r>
      <w:r w:rsidRPr="00786514" w:rsidR="00077B7C">
        <w:t>N</w:t>
      </w:r>
    </w:p>
    <w:p w:rsidRPr="00786514" w:rsidR="2E78EE14" w:rsidP="00786514" w:rsidRDefault="69CC388F" w14:paraId="7DE461B0" w14:textId="69F3CE63">
      <w:pPr>
        <w:pStyle w:val="PR1"/>
        <w:numPr>
          <w:ilvl w:val="2"/>
          <w:numId w:val="17"/>
        </w:numPr>
        <w:ind w:left="540"/>
      </w:pPr>
      <w:r w:rsidRPr="00786514">
        <w:t xml:space="preserve">Consult the </w:t>
      </w:r>
      <w:r w:rsidR="002D736F">
        <w:t xml:space="preserve">EBP </w:t>
      </w:r>
      <w:r w:rsidRPr="00786514">
        <w:t>Early</w:t>
      </w:r>
      <w:r>
        <w:t xml:space="preserve"> Integrative </w:t>
      </w:r>
      <w:r w:rsidR="74677540">
        <w:t>Design</w:t>
      </w:r>
      <w:r w:rsidR="1F1DBEAF">
        <w:t xml:space="preserve"> (EID) </w:t>
      </w:r>
      <w:r w:rsidR="169E27A8">
        <w:t>Guidelines</w:t>
      </w:r>
      <w:r w:rsidR="400C0FF4">
        <w:t xml:space="preserve">, with </w:t>
      </w:r>
      <w:r w:rsidR="236D0370">
        <w:t xml:space="preserve">specific </w:t>
      </w:r>
      <w:r w:rsidR="671F1D23">
        <w:t xml:space="preserve">attention </w:t>
      </w:r>
      <w:r w:rsidR="43CD071C">
        <w:t xml:space="preserve">paid </w:t>
      </w:r>
      <w:r w:rsidR="4F3B8855">
        <w:t xml:space="preserve">to the </w:t>
      </w:r>
      <w:r w:rsidR="048D0E75">
        <w:t>following items:</w:t>
      </w:r>
    </w:p>
    <w:p w:rsidRPr="00786514" w:rsidR="048D0E75" w:rsidP="00786514" w:rsidRDefault="3DE8E266" w14:paraId="6309D35D" w14:textId="1ABAAD8E">
      <w:pPr>
        <w:pStyle w:val="PR2"/>
        <w:tabs>
          <w:tab w:val="num" w:pos="630"/>
        </w:tabs>
        <w:ind w:hanging="396"/>
      </w:pPr>
      <w:r>
        <w:t xml:space="preserve">Early </w:t>
      </w:r>
      <w:r w:rsidR="25C056A9">
        <w:t>goal</w:t>
      </w:r>
      <w:r w:rsidR="3F011DDD">
        <w:t xml:space="preserve"> </w:t>
      </w:r>
      <w:r w:rsidR="02B33791">
        <w:t xml:space="preserve">setting around </w:t>
      </w:r>
      <w:r w:rsidR="67DD9067">
        <w:t>building performance</w:t>
      </w:r>
      <w:r w:rsidR="0E21B8CA">
        <w:t xml:space="preserve"> and </w:t>
      </w:r>
      <w:r w:rsidR="6ACFA2C2">
        <w:t>sustainability</w:t>
      </w:r>
    </w:p>
    <w:p w:rsidRPr="00786514" w:rsidR="6ACFA2C2" w:rsidP="00786514" w:rsidRDefault="40390D76" w14:paraId="069EA7EC" w14:textId="46FFF7ED">
      <w:pPr>
        <w:pStyle w:val="PR3"/>
        <w:tabs>
          <w:tab w:val="num" w:pos="630"/>
        </w:tabs>
        <w:ind w:hanging="396"/>
      </w:pPr>
      <w:r>
        <w:t>Identify</w:t>
      </w:r>
      <w:r w:rsidR="3FBF9121">
        <w:t xml:space="preserve"> </w:t>
      </w:r>
      <w:r w:rsidR="0371AAD5">
        <w:t xml:space="preserve">baseline </w:t>
      </w:r>
      <w:r w:rsidR="601F94CD">
        <w:t>energy code</w:t>
      </w:r>
      <w:r w:rsidR="00590944">
        <w:t xml:space="preserve">, </w:t>
      </w:r>
      <w:r w:rsidR="00F8251B">
        <w:t xml:space="preserve">as well as </w:t>
      </w:r>
      <w:r w:rsidR="00DF6800">
        <w:t>zoning</w:t>
      </w:r>
      <w:r w:rsidR="002C287C">
        <w:t xml:space="preserve"> </w:t>
      </w:r>
      <w:r w:rsidR="601F94CD">
        <w:t xml:space="preserve">or </w:t>
      </w:r>
      <w:r w:rsidR="24A4F309">
        <w:t xml:space="preserve">funding-related </w:t>
      </w:r>
      <w:r w:rsidR="0152DD02">
        <w:t xml:space="preserve">requirements </w:t>
      </w:r>
      <w:r w:rsidR="002D736F">
        <w:t>for</w:t>
      </w:r>
      <w:r w:rsidR="0BEE19B3">
        <w:t xml:space="preserve"> building </w:t>
      </w:r>
      <w:r w:rsidR="3AAEB0F3">
        <w:t>performance</w:t>
      </w:r>
      <w:r w:rsidR="00F8251B">
        <w:t xml:space="preserve"> or sustainability</w:t>
      </w:r>
      <w:r w:rsidR="003953B0">
        <w:t>.</w:t>
      </w:r>
      <w:r w:rsidR="002C287C">
        <w:t xml:space="preserve"> Examples include </w:t>
      </w:r>
      <w:r w:rsidR="00575863">
        <w:t xml:space="preserve">municipal Green Building Standards for </w:t>
      </w:r>
      <w:r w:rsidR="00F8251B">
        <w:t>zoning bonus</w:t>
      </w:r>
      <w:r w:rsidR="00575863">
        <w:t xml:space="preserve">, or </w:t>
      </w:r>
      <w:r w:rsidR="00461803">
        <w:t xml:space="preserve">additional </w:t>
      </w:r>
      <w:r w:rsidR="000806C6">
        <w:t xml:space="preserve">ESDS 5.02 </w:t>
      </w:r>
      <w:r w:rsidR="00461803">
        <w:t>points</w:t>
      </w:r>
      <w:r w:rsidR="00F8251B">
        <w:t xml:space="preserve"> made as part of funding applications.</w:t>
      </w:r>
    </w:p>
    <w:p w:rsidRPr="00786514" w:rsidR="47E237CC" w:rsidP="00786514" w:rsidRDefault="76A2CF0C" w14:paraId="145C9BED" w14:textId="2F109ECC">
      <w:pPr>
        <w:pStyle w:val="PR3"/>
        <w:tabs>
          <w:tab w:val="num" w:pos="630"/>
        </w:tabs>
        <w:ind w:hanging="396"/>
      </w:pPr>
      <w:r>
        <w:t xml:space="preserve">Identify owner </w:t>
      </w:r>
      <w:r w:rsidR="2563664D">
        <w:t xml:space="preserve">goals, ideally </w:t>
      </w:r>
      <w:r w:rsidR="35440892">
        <w:t>informed</w:t>
      </w:r>
      <w:r w:rsidR="5019AFBB">
        <w:t xml:space="preserve"> </w:t>
      </w:r>
      <w:r w:rsidR="2CC799B4">
        <w:t xml:space="preserve">by facilities </w:t>
      </w:r>
      <w:r w:rsidR="097583AD">
        <w:t xml:space="preserve">staff and </w:t>
      </w:r>
      <w:r w:rsidR="003D4321">
        <w:t xml:space="preserve">case studies/data from </w:t>
      </w:r>
      <w:r w:rsidR="7BE834A0">
        <w:t xml:space="preserve">comparable </w:t>
      </w:r>
      <w:r w:rsidR="06837152">
        <w:t>projects</w:t>
      </w:r>
      <w:r w:rsidR="003953B0">
        <w:t>.</w:t>
      </w:r>
    </w:p>
    <w:p w:rsidRPr="00786514" w:rsidR="2B0D76F2" w:rsidP="00786514" w:rsidRDefault="07BB60EB" w14:paraId="361198F8" w14:textId="044C673A">
      <w:pPr>
        <w:pStyle w:val="PR3"/>
        <w:tabs>
          <w:tab w:val="num" w:pos="630"/>
        </w:tabs>
        <w:ind w:hanging="396"/>
      </w:pPr>
      <w:r>
        <w:t xml:space="preserve">Identify potential </w:t>
      </w:r>
      <w:r w:rsidR="6CE5B9C1">
        <w:t>certification</w:t>
      </w:r>
      <w:r w:rsidR="69F3A766">
        <w:t xml:space="preserve"> </w:t>
      </w:r>
      <w:r w:rsidR="46A1915F">
        <w:t>programs to pursue</w:t>
      </w:r>
      <w:r w:rsidR="003953B0">
        <w:t>.</w:t>
      </w:r>
    </w:p>
    <w:p w:rsidRPr="00786514" w:rsidR="4774D5E7" w:rsidP="00786514" w:rsidRDefault="4774D5E7" w14:paraId="53B5290C" w14:textId="1BA5954B">
      <w:pPr>
        <w:pStyle w:val="PR3"/>
        <w:tabs>
          <w:tab w:val="num" w:pos="630"/>
        </w:tabs>
        <w:ind w:hanging="396"/>
      </w:pPr>
      <w:r>
        <w:t xml:space="preserve">Identify </w:t>
      </w:r>
      <w:r w:rsidR="2422BFE0">
        <w:t xml:space="preserve">potential </w:t>
      </w:r>
      <w:r w:rsidR="00D0A9D9">
        <w:t xml:space="preserve">incentives from </w:t>
      </w:r>
      <w:r w:rsidR="5D7E93D1">
        <w:t xml:space="preserve">utility </w:t>
      </w:r>
      <w:r w:rsidR="4F1E003D">
        <w:t xml:space="preserve">providers and associated </w:t>
      </w:r>
      <w:r w:rsidR="36F57480">
        <w:t>costs and</w:t>
      </w:r>
      <w:r w:rsidR="5A8C8176">
        <w:t xml:space="preserve"> requirements</w:t>
      </w:r>
      <w:r w:rsidR="003953B0">
        <w:t>.</w:t>
      </w:r>
    </w:p>
    <w:p w:rsidR="006574C0" w:rsidRDefault="006574C0" w14:paraId="083489B4" w14:textId="77777777">
      <w:r>
        <w:br w:type="page"/>
      </w:r>
    </w:p>
    <w:p w:rsidRPr="00786514" w:rsidR="1E3E9B2A" w:rsidP="00786514" w:rsidRDefault="579A6F1B" w14:paraId="21FD2476" w14:textId="498B832F">
      <w:pPr>
        <w:pStyle w:val="PR2"/>
        <w:tabs>
          <w:tab w:val="num" w:pos="630"/>
        </w:tabs>
        <w:ind w:hanging="396"/>
      </w:pPr>
      <w:r>
        <w:lastRenderedPageBreak/>
        <w:t>Financing &amp; Budgeting</w:t>
      </w:r>
    </w:p>
    <w:p w:rsidRPr="00786514" w:rsidR="4833492B" w:rsidP="00786514" w:rsidRDefault="52CE85DC" w14:paraId="3447D1C7" w14:textId="7FA1B646">
      <w:pPr>
        <w:pStyle w:val="PR3"/>
        <w:tabs>
          <w:tab w:val="num" w:pos="630"/>
        </w:tabs>
        <w:ind w:hanging="396"/>
      </w:pPr>
      <w:r>
        <w:t xml:space="preserve">Outline </w:t>
      </w:r>
      <w:r w:rsidR="5D69C28D">
        <w:t>which</w:t>
      </w:r>
      <w:r w:rsidR="3A17AC86">
        <w:t xml:space="preserve"> </w:t>
      </w:r>
      <w:r w:rsidR="38B751F7">
        <w:t>financing</w:t>
      </w:r>
      <w:r w:rsidR="2C8A5D7A">
        <w:t xml:space="preserve"> programs will </w:t>
      </w:r>
      <w:r w:rsidR="50F4AEF8">
        <w:t xml:space="preserve">be </w:t>
      </w:r>
      <w:r w:rsidR="2DA298F1">
        <w:t>pursued</w:t>
      </w:r>
      <w:r w:rsidR="003953B0">
        <w:t>.</w:t>
      </w:r>
    </w:p>
    <w:p w:rsidRPr="00786514" w:rsidR="2DA298F1" w:rsidP="00786514" w:rsidRDefault="0A5082EA" w14:paraId="31A215F4" w14:textId="78E60408">
      <w:pPr>
        <w:pStyle w:val="PR3"/>
        <w:tabs>
          <w:tab w:val="num" w:pos="630"/>
        </w:tabs>
        <w:ind w:hanging="396"/>
      </w:pPr>
      <w:r>
        <w:t xml:space="preserve">Identify key </w:t>
      </w:r>
      <w:r w:rsidR="66FE6CE2">
        <w:t>financing milestones</w:t>
      </w:r>
      <w:r w:rsidR="43AC56DB">
        <w:t>, and w</w:t>
      </w:r>
      <w:r w:rsidR="00013A48">
        <w:t>h</w:t>
      </w:r>
      <w:r w:rsidR="43AC56DB">
        <w:t xml:space="preserve">at </w:t>
      </w:r>
      <w:r w:rsidR="354BC347">
        <w:t xml:space="preserve">level of design and </w:t>
      </w:r>
      <w:r w:rsidR="78FDDCFA">
        <w:t xml:space="preserve">specifications need </w:t>
      </w:r>
      <w:r w:rsidR="55ABC6F3">
        <w:t>to be developed</w:t>
      </w:r>
      <w:r w:rsidR="7A161871">
        <w:t xml:space="preserve"> to support funding </w:t>
      </w:r>
      <w:r w:rsidR="6BB584DD">
        <w:t>efforts</w:t>
      </w:r>
      <w:r w:rsidR="00013A48">
        <w:t>.</w:t>
      </w:r>
    </w:p>
    <w:p w:rsidRPr="00786514" w:rsidR="6BB584DD" w:rsidP="00786514" w:rsidRDefault="4936B35E" w14:paraId="5B5D5202" w14:textId="6043D327">
      <w:pPr>
        <w:pStyle w:val="PR3"/>
        <w:tabs>
          <w:tab w:val="num" w:pos="630"/>
        </w:tabs>
        <w:ind w:hanging="396"/>
      </w:pPr>
      <w:r>
        <w:t xml:space="preserve">Identify associated costs for </w:t>
      </w:r>
      <w:r w:rsidR="25E49D57">
        <w:t xml:space="preserve">early design </w:t>
      </w:r>
      <w:r w:rsidR="02928750">
        <w:t>efforts</w:t>
      </w:r>
      <w:r w:rsidR="00C16949">
        <w:t>.</w:t>
      </w:r>
    </w:p>
    <w:p w:rsidR="02928750" w:rsidRDefault="7431F3BB" w14:paraId="6554D290" w14:textId="1148F6A3">
      <w:pPr>
        <w:pStyle w:val="PR3"/>
        <w:tabs>
          <w:tab w:val="num" w:pos="630"/>
        </w:tabs>
        <w:ind w:hanging="396"/>
      </w:pPr>
      <w:r>
        <w:t xml:space="preserve">Identify budget </w:t>
      </w:r>
      <w:r w:rsidR="75053843">
        <w:t>constraints</w:t>
      </w:r>
      <w:r w:rsidR="00013A48">
        <w:t>.</w:t>
      </w:r>
    </w:p>
    <w:p w:rsidRPr="00786514" w:rsidR="065B065C" w:rsidP="00786514" w:rsidRDefault="065B065C" w14:paraId="175BD597" w14:textId="24AF44BD">
      <w:pPr>
        <w:pStyle w:val="PR2"/>
        <w:tabs>
          <w:tab w:val="num" w:pos="630"/>
        </w:tabs>
        <w:ind w:hanging="396"/>
      </w:pPr>
      <w:r>
        <w:t xml:space="preserve">Project Team </w:t>
      </w:r>
      <w:r w:rsidR="10F6430D">
        <w:t>Formation</w:t>
      </w:r>
    </w:p>
    <w:p w:rsidRPr="00786514" w:rsidR="591755A3" w:rsidP="00786514" w:rsidRDefault="67BCE026" w14:paraId="15CD3691" w14:textId="05B933C9">
      <w:pPr>
        <w:pStyle w:val="PR3"/>
        <w:tabs>
          <w:tab w:val="num" w:pos="630"/>
        </w:tabs>
        <w:ind w:hanging="396"/>
      </w:pPr>
      <w:r>
        <w:t xml:space="preserve">Identify core team </w:t>
      </w:r>
      <w:r w:rsidR="79BC503E">
        <w:t xml:space="preserve">members and consultants to </w:t>
      </w:r>
      <w:r w:rsidR="33182430">
        <w:t xml:space="preserve">coordinate the </w:t>
      </w:r>
      <w:r w:rsidR="33EB68B8">
        <w:t xml:space="preserve">early </w:t>
      </w:r>
      <w:r w:rsidR="3E86A569">
        <w:t xml:space="preserve">design and </w:t>
      </w:r>
      <w:r w:rsidR="05E944BC">
        <w:t>specification</w:t>
      </w:r>
      <w:r w:rsidR="6D473CA9">
        <w:t xml:space="preserve"> </w:t>
      </w:r>
      <w:r w:rsidR="5EE6A915">
        <w:t>process</w:t>
      </w:r>
      <w:r w:rsidR="00013A48">
        <w:t>.</w:t>
      </w:r>
    </w:p>
    <w:p w:rsidR="18427D07" w:rsidP="00786514" w:rsidRDefault="005EE839" w14:paraId="11315CA6" w14:textId="7B82C5F2">
      <w:pPr>
        <w:pStyle w:val="PR3"/>
        <w:tabs>
          <w:tab w:val="num" w:pos="630"/>
        </w:tabs>
        <w:ind w:hanging="396"/>
      </w:pPr>
      <w:r>
        <w:t xml:space="preserve">Identify </w:t>
      </w:r>
      <w:r w:rsidR="1623AF34">
        <w:t xml:space="preserve">key roles </w:t>
      </w:r>
      <w:r w:rsidR="0BCD6972">
        <w:t xml:space="preserve">and </w:t>
      </w:r>
      <w:r w:rsidR="05E944BC">
        <w:t>responsibilities</w:t>
      </w:r>
      <w:r w:rsidR="7D6CD5DD">
        <w:t xml:space="preserve"> for</w:t>
      </w:r>
      <w:r w:rsidR="5A1ABFD6">
        <w:t xml:space="preserve"> design-making </w:t>
      </w:r>
      <w:r w:rsidR="36C8A9CF">
        <w:t xml:space="preserve">and project </w:t>
      </w:r>
      <w:r w:rsidR="05E944BC">
        <w:t>management</w:t>
      </w:r>
      <w:r w:rsidR="00013A48">
        <w:t>.</w:t>
      </w:r>
    </w:p>
    <w:p w:rsidR="00DF4429" w:rsidP="00786514" w:rsidRDefault="003416A1" w14:paraId="0B34E9A1" w14:textId="4D098A54">
      <w:pPr>
        <w:pStyle w:val="PR3"/>
        <w:tabs>
          <w:tab w:val="num" w:pos="630"/>
        </w:tabs>
        <w:ind w:hanging="396"/>
      </w:pPr>
      <w:r>
        <w:t>Owner</w:t>
      </w:r>
      <w:r w:rsidR="00545580">
        <w:t>/</w:t>
      </w:r>
      <w:r>
        <w:t>developer,</w:t>
      </w:r>
      <w:r w:rsidR="00DF4429">
        <w:t xml:space="preserve"> </w:t>
      </w:r>
      <w:r>
        <w:t xml:space="preserve">or architect summarizes building performance, sustainability, financing, </w:t>
      </w:r>
      <w:r w:rsidR="009158C8">
        <w:t xml:space="preserve">accessibility, </w:t>
      </w:r>
      <w:r w:rsidR="00C25A65">
        <w:t>etc.</w:t>
      </w:r>
      <w:r>
        <w:t xml:space="preserve"> goals and requirements for team in a concise manner that </w:t>
      </w:r>
      <w:r w:rsidR="00545580">
        <w:t>can be distributed to the team.</w:t>
      </w:r>
    </w:p>
    <w:p w:rsidRPr="00786514" w:rsidR="007C4C56" w:rsidP="00786514" w:rsidRDefault="07A52054" w14:paraId="123D86F6" w14:textId="00B0BF6B">
      <w:pPr>
        <w:pStyle w:val="PR3"/>
        <w:tabs>
          <w:tab w:val="num" w:pos="630"/>
        </w:tabs>
        <w:ind w:hanging="396"/>
      </w:pPr>
      <w:r>
        <w:t xml:space="preserve">Confirm that team members and consultants </w:t>
      </w:r>
      <w:r w:rsidR="00545580">
        <w:t>have received the summary of</w:t>
      </w:r>
      <w:r>
        <w:t xml:space="preserve"> owner</w:t>
      </w:r>
      <w:r w:rsidR="00545580">
        <w:t>/</w:t>
      </w:r>
      <w:r w:rsidR="00EF6B6E">
        <w:t>developer</w:t>
      </w:r>
      <w:r>
        <w:t xml:space="preserve"> goals and requirements are accounted for in their scope of work.</w:t>
      </w:r>
    </w:p>
    <w:p w:rsidRPr="00786514" w:rsidR="10F6430D" w:rsidP="00786514" w:rsidRDefault="54A85CC0" w14:paraId="6C0C6549" w14:textId="3D2CEF77">
      <w:pPr>
        <w:pStyle w:val="PR2"/>
        <w:tabs>
          <w:tab w:val="num" w:pos="630"/>
        </w:tabs>
        <w:ind w:hanging="396"/>
      </w:pPr>
      <w:r>
        <w:t xml:space="preserve">Integrated </w:t>
      </w:r>
      <w:r w:rsidR="7912AE3E">
        <w:t>Scheduling</w:t>
      </w:r>
    </w:p>
    <w:p w:rsidR="365A7E9C" w:rsidP="00786514" w:rsidRDefault="7B92FEF9" w14:paraId="13DDFEE6" w14:textId="239650C0">
      <w:pPr>
        <w:pStyle w:val="PR3"/>
        <w:tabs>
          <w:tab w:val="num" w:pos="630"/>
        </w:tabs>
        <w:ind w:hanging="396"/>
      </w:pPr>
      <w:r>
        <w:t xml:space="preserve">Develop </w:t>
      </w:r>
      <w:r w:rsidR="001E743E">
        <w:t xml:space="preserve">a </w:t>
      </w:r>
      <w:r w:rsidR="668CAB42">
        <w:t>schedule</w:t>
      </w:r>
      <w:r w:rsidR="34EED2EB">
        <w:t xml:space="preserve"> that </w:t>
      </w:r>
      <w:r w:rsidR="268E3F57">
        <w:t xml:space="preserve">includes design </w:t>
      </w:r>
      <w:r w:rsidR="6E4AA6DC">
        <w:t xml:space="preserve">development, </w:t>
      </w:r>
      <w:r w:rsidR="1900F04B">
        <w:t xml:space="preserve">permitting, </w:t>
      </w:r>
      <w:r w:rsidR="3C97FD41">
        <w:t>financing</w:t>
      </w:r>
      <w:r w:rsidR="6B589481">
        <w:t xml:space="preserve">, and </w:t>
      </w:r>
      <w:r w:rsidR="48067E7A">
        <w:t>construction estimating</w:t>
      </w:r>
      <w:r w:rsidR="24B46873">
        <w:t xml:space="preserve"> to </w:t>
      </w:r>
      <w:r w:rsidR="5C366580">
        <w:t>understand</w:t>
      </w:r>
      <w:r w:rsidR="0BFD8F1D">
        <w:t xml:space="preserve"> dependencies </w:t>
      </w:r>
      <w:r w:rsidR="3ABE265D">
        <w:t xml:space="preserve">between </w:t>
      </w:r>
      <w:r w:rsidR="697EBD9D">
        <w:t xml:space="preserve">those </w:t>
      </w:r>
      <w:r w:rsidR="00D33549">
        <w:t>efforts</w:t>
      </w:r>
      <w:r w:rsidR="00644B09">
        <w:t xml:space="preserve"> and the timing for making decisions on what Exemplary Building options are included</w:t>
      </w:r>
      <w:r w:rsidR="00D33549">
        <w:t>.</w:t>
      </w:r>
    </w:p>
    <w:p w:rsidR="7B69CAB5" w:rsidP="00786514" w:rsidRDefault="69E873E0" w14:paraId="752CC5E7" w14:textId="5BACACE9">
      <w:pPr>
        <w:pStyle w:val="PR1"/>
        <w:numPr>
          <w:ilvl w:val="2"/>
          <w:numId w:val="17"/>
        </w:numPr>
        <w:ind w:left="540"/>
      </w:pPr>
      <w:r>
        <w:t>Analyze approaches early in schematic design using an integrative design process beginning with the developer and architect and then expanding to the engineer, consultants, general contractor, and mechanical subcontractor.</w:t>
      </w:r>
    </w:p>
    <w:p w:rsidR="1CF2C137" w:rsidP="00786514" w:rsidRDefault="176864B4" w14:paraId="08DA7327" w14:textId="338CE941">
      <w:pPr>
        <w:pStyle w:val="PR1"/>
        <w:numPr>
          <w:ilvl w:val="2"/>
          <w:numId w:val="17"/>
        </w:numPr>
        <w:ind w:left="540"/>
      </w:pPr>
      <w:r>
        <w:t>System Specific Considerations for EID</w:t>
      </w:r>
    </w:p>
    <w:p w:rsidR="2620E905" w:rsidP="00111D31" w:rsidRDefault="05C0E559" w14:paraId="34D001E9" w14:textId="0501F82D">
      <w:pPr>
        <w:pStyle w:val="PR2"/>
        <w:numPr>
          <w:ilvl w:val="3"/>
          <w:numId w:val="29"/>
        </w:numPr>
      </w:pPr>
      <w:r>
        <w:t xml:space="preserve">Balanced </w:t>
      </w:r>
      <w:r w:rsidR="1B85AC54">
        <w:t xml:space="preserve">Ventilation with </w:t>
      </w:r>
      <w:r w:rsidR="2620E905">
        <w:t>Heat Recovery</w:t>
      </w:r>
    </w:p>
    <w:p w:rsidR="49F36135" w:rsidP="00786514" w:rsidRDefault="71D9B2EC" w14:paraId="49A8FA23" w14:textId="1BF28972">
      <w:pPr>
        <w:pStyle w:val="PR3"/>
        <w:tabs>
          <w:tab w:val="num" w:pos="630"/>
        </w:tabs>
        <w:ind w:hanging="396"/>
      </w:pPr>
      <w:r>
        <w:t xml:space="preserve">Consider </w:t>
      </w:r>
      <w:r w:rsidR="005C7A5E">
        <w:t xml:space="preserve">code </w:t>
      </w:r>
      <w:r>
        <w:t xml:space="preserve">variances for </w:t>
      </w:r>
      <w:r w:rsidR="1C8FFC5B">
        <w:t xml:space="preserve">additional </w:t>
      </w:r>
      <w:r w:rsidR="3973FFCE">
        <w:t xml:space="preserve">building height for </w:t>
      </w:r>
      <w:r w:rsidR="40FA4DD9">
        <w:t xml:space="preserve">distribution </w:t>
      </w:r>
      <w:r w:rsidR="7A5621CA">
        <w:t>systems</w:t>
      </w:r>
      <w:r w:rsidR="48A3782F">
        <w:t xml:space="preserve">, or roof area </w:t>
      </w:r>
      <w:r w:rsidR="0C5591E3">
        <w:t>coverage/height</w:t>
      </w:r>
      <w:r w:rsidR="7B4C429D">
        <w:t xml:space="preserve"> for </w:t>
      </w:r>
      <w:r w:rsidR="7F0D39C5">
        <w:t>mechanical</w:t>
      </w:r>
      <w:r w:rsidR="7B4C429D">
        <w:t xml:space="preserve"> </w:t>
      </w:r>
      <w:r w:rsidR="00D33549">
        <w:t>equipment.</w:t>
      </w:r>
    </w:p>
    <w:p w:rsidR="225F4FCD" w:rsidP="00786514" w:rsidRDefault="7CEE6BF2" w14:paraId="431A363B" w14:textId="71E8195D">
      <w:pPr>
        <w:pStyle w:val="PR3"/>
        <w:tabs>
          <w:tab w:val="num" w:pos="630"/>
        </w:tabs>
        <w:ind w:hanging="396"/>
      </w:pPr>
      <w:r>
        <w:t xml:space="preserve">Consider </w:t>
      </w:r>
      <w:r w:rsidR="00644B09">
        <w:t xml:space="preserve">the </w:t>
      </w:r>
      <w:r>
        <w:t xml:space="preserve">design and location </w:t>
      </w:r>
      <w:r w:rsidR="40A085A6">
        <w:t xml:space="preserve">of </w:t>
      </w:r>
      <w:r w:rsidR="183D8F71">
        <w:t>fenestration</w:t>
      </w:r>
      <w:r w:rsidR="1D4E6F9F">
        <w:t xml:space="preserve"> openings</w:t>
      </w:r>
      <w:r w:rsidR="0C45205A">
        <w:t xml:space="preserve"> on building </w:t>
      </w:r>
      <w:r w:rsidR="56AA4390">
        <w:t xml:space="preserve">facades, </w:t>
      </w:r>
      <w:r w:rsidR="1A5C5D44">
        <w:t xml:space="preserve">with respect to </w:t>
      </w:r>
      <w:r w:rsidR="6218C4C9">
        <w:t xml:space="preserve">intake and exhaust </w:t>
      </w:r>
      <w:r w:rsidR="00D33549">
        <w:t>points.</w:t>
      </w:r>
    </w:p>
    <w:p w:rsidR="183D8F71" w:rsidP="00786514" w:rsidRDefault="74EB7969" w14:paraId="70B7B219" w14:textId="129C6100">
      <w:pPr>
        <w:pStyle w:val="PR3"/>
        <w:tabs>
          <w:tab w:val="num" w:pos="630"/>
        </w:tabs>
        <w:ind w:hanging="396"/>
      </w:pPr>
      <w:r>
        <w:t xml:space="preserve">Research and confirm </w:t>
      </w:r>
      <w:r w:rsidR="51996362">
        <w:t xml:space="preserve">code </w:t>
      </w:r>
      <w:r w:rsidR="71F9670E">
        <w:t xml:space="preserve">requirements for </w:t>
      </w:r>
      <w:r w:rsidR="20B9FE4F">
        <w:t xml:space="preserve">centralized </w:t>
      </w:r>
      <w:r w:rsidR="2B553B00">
        <w:t>distribution systems,</w:t>
      </w:r>
      <w:r w:rsidR="6F0754B3">
        <w:t xml:space="preserve"> such as </w:t>
      </w:r>
      <w:r w:rsidR="1DC7EBF4">
        <w:t xml:space="preserve">exceptions for </w:t>
      </w:r>
      <w:r w:rsidR="701F902A">
        <w:t xml:space="preserve">fire/smoke </w:t>
      </w:r>
      <w:r w:rsidR="00D33549">
        <w:t>dampers.</w:t>
      </w:r>
    </w:p>
    <w:p w:rsidR="61BEFC96" w:rsidP="00786514" w:rsidRDefault="61BEFC96" w14:paraId="50D5728F" w14:textId="1A9FAF99">
      <w:pPr>
        <w:pStyle w:val="PR3"/>
        <w:tabs>
          <w:tab w:val="num" w:pos="630"/>
        </w:tabs>
        <w:ind w:hanging="396"/>
      </w:pPr>
      <w:r>
        <w:t xml:space="preserve">Determine </w:t>
      </w:r>
      <w:r w:rsidR="7783C391">
        <w:t xml:space="preserve">where </w:t>
      </w:r>
      <w:r w:rsidR="6D2D7DCF">
        <w:t>distribution ducts</w:t>
      </w:r>
      <w:r w:rsidR="49DB67C8">
        <w:t xml:space="preserve"> will be </w:t>
      </w:r>
      <w:r w:rsidR="0D8D817C">
        <w:t>located</w:t>
      </w:r>
      <w:r w:rsidR="005C7A5E">
        <w:t xml:space="preserve">, with goal of locating all major ductwork </w:t>
      </w:r>
      <w:r w:rsidR="00DA7607">
        <w:t xml:space="preserve">located </w:t>
      </w:r>
      <w:r w:rsidR="005C7A5E">
        <w:t>within the conditioned envelope.</w:t>
      </w:r>
    </w:p>
    <w:p w:rsidR="0270250F" w:rsidP="2401E638" w:rsidRDefault="0270250F" w14:paraId="0C0AD7BE" w14:textId="3A55838C">
      <w:pPr>
        <w:pStyle w:val="PR3"/>
        <w:tabs>
          <w:tab w:val="num" w:pos="630"/>
        </w:tabs>
        <w:ind w:hanging="396"/>
      </w:pPr>
      <w:r>
        <w:t>Consider duct distribution in corridor and units when determining floor</w:t>
      </w:r>
      <w:r w:rsidR="00441727">
        <w:t>-</w:t>
      </w:r>
      <w:r>
        <w:t>to</w:t>
      </w:r>
      <w:r w:rsidR="00441727">
        <w:t>-</w:t>
      </w:r>
      <w:r>
        <w:t xml:space="preserve">floor heights </w:t>
      </w:r>
      <w:r w:rsidR="00661B0F">
        <w:t xml:space="preserve">and </w:t>
      </w:r>
      <w:r>
        <w:t xml:space="preserve">building code height </w:t>
      </w:r>
      <w:r w:rsidR="00661B0F">
        <w:t>limits</w:t>
      </w:r>
      <w:r>
        <w:t>.</w:t>
      </w:r>
    </w:p>
    <w:p w:rsidR="4EE7278F" w:rsidP="00786514" w:rsidRDefault="0842FB81" w14:paraId="289A0497" w14:textId="6CEE2D6B">
      <w:pPr>
        <w:pStyle w:val="PR2"/>
        <w:tabs>
          <w:tab w:val="num" w:pos="630"/>
        </w:tabs>
        <w:ind w:hanging="396"/>
      </w:pPr>
      <w:r>
        <w:t xml:space="preserve">Domestic </w:t>
      </w:r>
      <w:r w:rsidR="4BF51534">
        <w:t xml:space="preserve">Hot </w:t>
      </w:r>
      <w:r w:rsidR="569051E5">
        <w:t xml:space="preserve">Water </w:t>
      </w:r>
      <w:r w:rsidR="390D8F50">
        <w:t xml:space="preserve">&amp; Water </w:t>
      </w:r>
      <w:r w:rsidR="67CE2690">
        <w:t>Management</w:t>
      </w:r>
    </w:p>
    <w:p w:rsidR="52111A4A" w:rsidP="00786514" w:rsidRDefault="35619C3D" w14:paraId="09958060" w14:textId="36ED32B6">
      <w:pPr>
        <w:pStyle w:val="PR3"/>
        <w:tabs>
          <w:tab w:val="num" w:pos="1440"/>
        </w:tabs>
      </w:pPr>
      <w:r>
        <w:t>Consider</w:t>
      </w:r>
      <w:r w:rsidR="34D7AE5F">
        <w:t xml:space="preserve"> location of bathrooms and</w:t>
      </w:r>
      <w:r w:rsidR="3853AE98">
        <w:t xml:space="preserve"> </w:t>
      </w:r>
      <w:r w:rsidR="3FFCD8EE">
        <w:t>kitchens</w:t>
      </w:r>
      <w:r w:rsidR="3853AE98">
        <w:t xml:space="preserve"> with </w:t>
      </w:r>
      <w:r w:rsidR="3FFCD8EE">
        <w:t>respect to</w:t>
      </w:r>
      <w:r w:rsidR="64672A6C">
        <w:t xml:space="preserve"> hot water distribution </w:t>
      </w:r>
      <w:r w:rsidR="560696D8">
        <w:t xml:space="preserve">mains and </w:t>
      </w:r>
      <w:r w:rsidR="32B480D1">
        <w:t xml:space="preserve">fixture </w:t>
      </w:r>
      <w:proofErr w:type="gramStart"/>
      <w:r w:rsidR="32B480D1">
        <w:t>run-outs</w:t>
      </w:r>
      <w:proofErr w:type="gramEnd"/>
      <w:r w:rsidR="005C7A5E">
        <w:t>.</w:t>
      </w:r>
    </w:p>
    <w:p w:rsidR="0F626ACA" w:rsidP="00786514" w:rsidRDefault="1035AF52" w14:paraId="085BA970" w14:textId="071ABC98">
      <w:pPr>
        <w:pStyle w:val="PR3"/>
        <w:tabs>
          <w:tab w:val="num" w:pos="1440"/>
        </w:tabs>
      </w:pPr>
      <w:r>
        <w:t xml:space="preserve">Identify locations </w:t>
      </w:r>
      <w:r w:rsidR="48BE3EBB">
        <w:t xml:space="preserve">for </w:t>
      </w:r>
      <w:r w:rsidR="49918343">
        <w:t xml:space="preserve">heat </w:t>
      </w:r>
      <w:r w:rsidR="263F6D3C">
        <w:t xml:space="preserve">pumps and storage </w:t>
      </w:r>
      <w:r w:rsidR="6FC0DA61">
        <w:t>tanks</w:t>
      </w:r>
      <w:r w:rsidR="02ED5735">
        <w:t xml:space="preserve"> that </w:t>
      </w:r>
      <w:r w:rsidR="570A010B">
        <w:t>facilitate</w:t>
      </w:r>
      <w:r w:rsidR="66BA7DA5">
        <w:t xml:space="preserve"> </w:t>
      </w:r>
      <w:r w:rsidR="3C492B26">
        <w:t xml:space="preserve">both </w:t>
      </w:r>
      <w:r w:rsidR="14ECC74D">
        <w:t xml:space="preserve">efficient operation </w:t>
      </w:r>
      <w:r w:rsidR="4E489B3E">
        <w:t xml:space="preserve">and allow </w:t>
      </w:r>
      <w:r w:rsidR="4F1BDFC6">
        <w:t xml:space="preserve">for </w:t>
      </w:r>
      <w:r w:rsidR="4F60D6B5">
        <w:t xml:space="preserve">access for </w:t>
      </w:r>
      <w:r w:rsidR="41004321">
        <w:t xml:space="preserve">maintenance and </w:t>
      </w:r>
      <w:r w:rsidR="6FC0DA61">
        <w:t>replacement</w:t>
      </w:r>
      <w:r w:rsidR="005C7A5E">
        <w:t>.</w:t>
      </w:r>
    </w:p>
    <w:p w:rsidR="10F42296" w:rsidP="00786514" w:rsidRDefault="0018258B" w14:paraId="68B3671A" w14:textId="5C92C5B2">
      <w:pPr>
        <w:pStyle w:val="PR3"/>
        <w:tabs>
          <w:tab w:val="num" w:pos="1440"/>
        </w:tabs>
      </w:pPr>
      <w:r>
        <w:t>Evaluate</w:t>
      </w:r>
      <w:r w:rsidR="69E873E0">
        <w:t xml:space="preserve"> </w:t>
      </w:r>
      <w:proofErr w:type="gramStart"/>
      <w:r w:rsidR="69E873E0">
        <w:t>low-flow</w:t>
      </w:r>
      <w:proofErr w:type="gramEnd"/>
      <w:r w:rsidR="69E873E0">
        <w:t xml:space="preserve"> plumbing fixtures</w:t>
      </w:r>
      <w:r w:rsidR="001E6AF6">
        <w:t>, particularly showerheads and toilets,</w:t>
      </w:r>
      <w:r w:rsidR="69E873E0">
        <w:t xml:space="preserve"> that have been used in past projects which were acceptable to both tenants and the property maintenance team</w:t>
      </w:r>
      <w:r w:rsidR="005C7A5E">
        <w:t>.</w:t>
      </w:r>
    </w:p>
    <w:p w:rsidR="69E873E0" w:rsidP="00786514" w:rsidRDefault="69E873E0" w14:paraId="3C3C3F24" w14:textId="5A8091BC">
      <w:pPr>
        <w:pStyle w:val="PR2"/>
        <w:tabs>
          <w:tab w:val="num" w:pos="630"/>
        </w:tabs>
        <w:ind w:hanging="396"/>
      </w:pPr>
      <w:r>
        <w:t>Solar</w:t>
      </w:r>
    </w:p>
    <w:p w:rsidR="0B07FCA6" w:rsidP="00786514" w:rsidRDefault="0B07FCA6" w14:paraId="45838EB8" w14:textId="0677885D">
      <w:pPr>
        <w:pStyle w:val="PR3"/>
        <w:tabs>
          <w:tab w:val="num" w:pos="1440"/>
        </w:tabs>
      </w:pPr>
      <w:r>
        <w:t xml:space="preserve">Engage </w:t>
      </w:r>
      <w:r w:rsidR="001E6AF6">
        <w:t xml:space="preserve">PV </w:t>
      </w:r>
      <w:r w:rsidR="005A7393">
        <w:t xml:space="preserve">system </w:t>
      </w:r>
      <w:r w:rsidR="001E6AF6">
        <w:t>designe</w:t>
      </w:r>
      <w:r w:rsidR="005A7393">
        <w:t>r/contractor</w:t>
      </w:r>
      <w:r w:rsidR="00675357">
        <w:t xml:space="preserve"> early in building design process.</w:t>
      </w:r>
    </w:p>
    <w:p w:rsidR="0B07FCA6" w:rsidP="00786514" w:rsidRDefault="002F1938" w14:paraId="7DB0F218" w14:textId="30C25756">
      <w:pPr>
        <w:pStyle w:val="PR3"/>
        <w:tabs>
          <w:tab w:val="num" w:pos="1440"/>
        </w:tabs>
      </w:pPr>
      <w:r>
        <w:t>Identify what roof areas are available for solar, and strategies for how area can be maximized.</w:t>
      </w:r>
    </w:p>
    <w:p w:rsidR="0B07FCA6" w:rsidP="00C82333" w:rsidRDefault="00675357" w14:paraId="619B6895" w14:textId="74818B93">
      <w:pPr>
        <w:pStyle w:val="PR3"/>
        <w:tabs>
          <w:tab w:val="num" w:pos="1440"/>
        </w:tabs>
      </w:pPr>
      <w:r>
        <w:t>Identify if solar investment tax credit can be leveraged</w:t>
      </w:r>
      <w:r w:rsidR="002F1938">
        <w:t xml:space="preserve"> or if other</w:t>
      </w:r>
      <w:r>
        <w:t xml:space="preserve"> incentives are available.</w:t>
      </w:r>
    </w:p>
    <w:p w:rsidR="00CD72E1" w:rsidP="00CD72E1" w:rsidRDefault="00CD72E1" w14:paraId="210A71A9" w14:textId="77777777">
      <w:pPr>
        <w:pStyle w:val="PR3"/>
        <w:tabs>
          <w:tab w:val="num" w:pos="1440"/>
        </w:tabs>
      </w:pPr>
      <w:r>
        <w:t>Review financing and solar ownership strategies.</w:t>
      </w:r>
    </w:p>
    <w:p w:rsidR="69E873E0" w:rsidP="00786514" w:rsidRDefault="69E873E0" w14:paraId="27AB0060" w14:textId="615E4F55">
      <w:pPr>
        <w:pStyle w:val="PR2"/>
        <w:tabs>
          <w:tab w:val="num" w:pos="630"/>
        </w:tabs>
        <w:ind w:hanging="396"/>
      </w:pPr>
      <w:r>
        <w:t>Wall</w:t>
      </w:r>
      <w:r w:rsidR="00C82333">
        <w:t xml:space="preserve"> Assemblies</w:t>
      </w:r>
    </w:p>
    <w:p w:rsidR="0B07FCA6" w:rsidP="00786514" w:rsidRDefault="0B07FCA6" w14:paraId="42945065" w14:textId="1E69EDD8">
      <w:pPr>
        <w:pStyle w:val="PR3"/>
        <w:tabs>
          <w:tab w:val="num" w:pos="1440"/>
        </w:tabs>
      </w:pPr>
      <w:r>
        <w:t>Review wall type options, considering the following characteristics</w:t>
      </w:r>
      <w:r w:rsidR="005C7A5E">
        <w:t>:</w:t>
      </w:r>
    </w:p>
    <w:p w:rsidR="0B07FCA6" w:rsidP="00786514" w:rsidRDefault="0B07FCA6" w14:paraId="2FA451F5" w14:textId="0A93D9DE">
      <w:pPr>
        <w:pStyle w:val="PR4"/>
        <w:tabs>
          <w:tab w:val="num" w:pos="1440"/>
        </w:tabs>
      </w:pPr>
      <w:r>
        <w:t xml:space="preserve">Achieving effective R22 </w:t>
      </w:r>
      <w:r w:rsidR="00C33AED">
        <w:t xml:space="preserve">wall </w:t>
      </w:r>
      <w:r>
        <w:t>assembly thermal efficiency</w:t>
      </w:r>
    </w:p>
    <w:p w:rsidR="0B07FCA6" w:rsidP="00786514" w:rsidRDefault="002E3BC3" w14:paraId="08AEBA49" w14:textId="381DDB0A">
      <w:pPr>
        <w:pStyle w:val="PR4"/>
        <w:tabs>
          <w:tab w:val="num" w:pos="1440"/>
        </w:tabs>
      </w:pPr>
      <w:r>
        <w:t>Standard vs.</w:t>
      </w:r>
      <w:r w:rsidR="00A2230B">
        <w:t xml:space="preserve"> </w:t>
      </w:r>
      <w:r>
        <w:t>advanced f</w:t>
      </w:r>
      <w:r w:rsidR="0B07FCA6">
        <w:t xml:space="preserve">raming </w:t>
      </w:r>
      <w:r w:rsidR="00A2230B">
        <w:t>strategies</w:t>
      </w:r>
    </w:p>
    <w:p w:rsidR="0B07FCA6" w:rsidP="00786514" w:rsidRDefault="0B07FCA6" w14:paraId="1912357D" w14:textId="01C88640">
      <w:pPr>
        <w:pStyle w:val="PR4"/>
        <w:tabs>
          <w:tab w:val="num" w:pos="1440"/>
        </w:tabs>
      </w:pPr>
      <w:r>
        <w:t>Assembly airtightness</w:t>
      </w:r>
    </w:p>
    <w:p w:rsidR="0B07FCA6" w:rsidP="00786514" w:rsidRDefault="0B07FCA6" w14:paraId="4EF8E1B7" w14:textId="7CE1790C">
      <w:pPr>
        <w:pStyle w:val="PR4"/>
        <w:tabs>
          <w:tab w:val="num" w:pos="1440"/>
        </w:tabs>
      </w:pPr>
      <w:r>
        <w:t>Water management</w:t>
      </w:r>
    </w:p>
    <w:p w:rsidR="0B07FCA6" w:rsidP="00786514" w:rsidRDefault="0B07FCA6" w14:paraId="238BA03C" w14:textId="0F94FB5C">
      <w:pPr>
        <w:pStyle w:val="PR4"/>
        <w:tabs>
          <w:tab w:val="num" w:pos="1440"/>
        </w:tabs>
      </w:pPr>
      <w:r>
        <w:t>Vapor control</w:t>
      </w:r>
    </w:p>
    <w:p w:rsidR="0B07FCA6" w:rsidP="00786514" w:rsidRDefault="0B07FCA6" w14:paraId="63AD0506" w14:textId="1BFB95D5">
      <w:pPr>
        <w:pStyle w:val="PR4"/>
        <w:tabs>
          <w:tab w:val="num" w:pos="1440"/>
        </w:tabs>
      </w:pPr>
      <w:r>
        <w:t xml:space="preserve">Cladding </w:t>
      </w:r>
      <w:r w:rsidR="00AE4EAD">
        <w:t xml:space="preserve">type and </w:t>
      </w:r>
      <w:r>
        <w:t>attachment</w:t>
      </w:r>
      <w:r w:rsidR="00AE4EAD">
        <w:t xml:space="preserve">, particularly if using advanced </w:t>
      </w:r>
      <w:r w:rsidR="007609E5">
        <w:t>framing.</w:t>
      </w:r>
    </w:p>
    <w:p w:rsidR="0B07FCA6" w:rsidP="00786514" w:rsidRDefault="0B07FCA6" w14:paraId="374E5E19" w14:textId="5031B371">
      <w:pPr>
        <w:pStyle w:val="PR4"/>
        <w:tabs>
          <w:tab w:val="num" w:pos="1440"/>
        </w:tabs>
      </w:pPr>
      <w:r>
        <w:t>Material durability</w:t>
      </w:r>
    </w:p>
    <w:p w:rsidR="00B251B6" w:rsidP="00B251B6" w:rsidRDefault="00D92271" w14:paraId="3767B5C6" w14:textId="3EBB6039">
      <w:pPr>
        <w:pStyle w:val="ART"/>
      </w:pPr>
      <w:r>
        <w:t>BALANCED VE</w:t>
      </w:r>
      <w:r w:rsidR="005313EA">
        <w:t>N</w:t>
      </w:r>
      <w:r>
        <w:t>TILATION WITH HEAT RECOVERY</w:t>
      </w:r>
    </w:p>
    <w:p w:rsidR="00B251B6" w:rsidP="00B251B6" w:rsidRDefault="00B251B6" w14:paraId="20B530F8" w14:textId="19DDBEB3">
      <w:pPr>
        <w:pStyle w:val="PR1"/>
        <w:tabs>
          <w:tab w:val="num" w:pos="540"/>
        </w:tabs>
        <w:ind w:left="540" w:hanging="396"/>
      </w:pPr>
      <w:r>
        <w:t>In</w:t>
      </w:r>
      <w:r w:rsidR="00150D38">
        <w:t>-Unit Ventilation Strategy</w:t>
      </w:r>
      <w:r>
        <w:t xml:space="preserve"> </w:t>
      </w:r>
    </w:p>
    <w:p w:rsidRPr="00D71906" w:rsidR="00B251B6" w:rsidP="00B251B6" w:rsidRDefault="0006678E" w14:paraId="62244ADF" w14:textId="2E3E780F">
      <w:pPr>
        <w:pStyle w:val="PR2"/>
      </w:pPr>
      <w:r>
        <w:t>Distributed System</w:t>
      </w:r>
    </w:p>
    <w:p w:rsidRPr="00B56758" w:rsidR="00B251B6" w:rsidP="00851D32" w:rsidRDefault="0006678E" w14:paraId="2559305E" w14:textId="344F1578">
      <w:pPr>
        <w:pStyle w:val="PR3"/>
      </w:pPr>
      <w:r>
        <w:t xml:space="preserve">Design </w:t>
      </w:r>
      <w:r w:rsidR="00C30140">
        <w:t>a</w:t>
      </w:r>
      <w:r>
        <w:t xml:space="preserve"> </w:t>
      </w:r>
      <w:r w:rsidR="00C30140">
        <w:t>“</w:t>
      </w:r>
      <w:r>
        <w:t>distributed</w:t>
      </w:r>
      <w:r w:rsidR="00C30140">
        <w:t>”</w:t>
      </w:r>
      <w:r w:rsidR="00706FEF">
        <w:t xml:space="preserve"> and “balanced”</w:t>
      </w:r>
      <w:r w:rsidR="0081712C">
        <w:t xml:space="preserve"> </w:t>
      </w:r>
      <w:r>
        <w:t xml:space="preserve">system, </w:t>
      </w:r>
      <w:r w:rsidR="00C30140">
        <w:t>as defined by the</w:t>
      </w:r>
      <w:r>
        <w:t xml:space="preserve"> W</w:t>
      </w:r>
      <w:r w:rsidR="00C30140">
        <w:t>ashington State Mechanical Code</w:t>
      </w:r>
      <w:r w:rsidR="00706FEF">
        <w:t xml:space="preserve"> or as amended by local code</w:t>
      </w:r>
      <w:r>
        <w:t xml:space="preserve">. If using a recirculating range hood for studio and one-bedroom units (see “Residential Range Exhaust” below), a </w:t>
      </w:r>
      <w:proofErr w:type="gramStart"/>
      <w:r>
        <w:t>distributed</w:t>
      </w:r>
      <w:proofErr w:type="gramEnd"/>
      <w:r>
        <w:t xml:space="preserve"> system must be used. </w:t>
      </w:r>
      <w:r w:rsidR="00706FEF">
        <w:t xml:space="preserve">Total system </w:t>
      </w:r>
      <w:r w:rsidR="001C2421">
        <w:t>airflow rate</w:t>
      </w:r>
      <w:r>
        <w:t xml:space="preserve">s should be </w:t>
      </w:r>
      <w:r w:rsidR="00540A00">
        <w:t xml:space="preserve">no greater than </w:t>
      </w:r>
      <w:r w:rsidR="00FF3D3B">
        <w:t>1</w:t>
      </w:r>
      <w:r w:rsidR="00540A00">
        <w:t xml:space="preserve">20% </w:t>
      </w:r>
      <w:r w:rsidR="001C2421">
        <w:t xml:space="preserve">of the </w:t>
      </w:r>
      <w:r>
        <w:t>code</w:t>
      </w:r>
      <w:r w:rsidR="00FF37D3">
        <w:t>-required supply or exhaust</w:t>
      </w:r>
      <w:r w:rsidR="001C2421">
        <w:t xml:space="preserve"> air flow, whichever is larger.</w:t>
      </w:r>
    </w:p>
    <w:p w:rsidR="000A2691" w:rsidP="000A2691" w:rsidRDefault="000A2691" w14:paraId="0C2FC37E" w14:textId="77777777">
      <w:pPr>
        <w:pStyle w:val="PR2"/>
      </w:pPr>
      <w:r>
        <w:t>In-Unit Laundry</w:t>
      </w:r>
    </w:p>
    <w:p w:rsidR="000A2691" w:rsidP="000A2691" w:rsidRDefault="00576104" w14:paraId="3054BEED" w14:textId="055CB9D9">
      <w:pPr>
        <w:pStyle w:val="PR3"/>
      </w:pPr>
      <w:r>
        <w:t>If provided, l</w:t>
      </w:r>
      <w:r w:rsidR="0081712C">
        <w:t xml:space="preserve">ocate </w:t>
      </w:r>
      <w:r>
        <w:t xml:space="preserve">the </w:t>
      </w:r>
      <w:r w:rsidR="0081712C">
        <w:t xml:space="preserve">laundry equipment within a bathroom or kitchen </w:t>
      </w:r>
      <w:r w:rsidR="00A2230B">
        <w:t>area and</w:t>
      </w:r>
      <w:r>
        <w:t xml:space="preserve"> utilize a ventless heat pump dryer</w:t>
      </w:r>
      <w:r w:rsidR="006A3B2F">
        <w:t xml:space="preserve"> that is specified as Tier 3 or higher per the Bonneville Power A</w:t>
      </w:r>
      <w:r w:rsidR="00607215">
        <w:t xml:space="preserve">dministration’s </w:t>
      </w:r>
      <w:r w:rsidR="00687FB1">
        <w:t xml:space="preserve">(BPA) </w:t>
      </w:r>
      <w:r w:rsidR="00607215">
        <w:t>Clothes Dryer Qualified Products List</w:t>
      </w:r>
      <w:r w:rsidR="00687FB1">
        <w:t xml:space="preserve"> (QPL), found here: </w:t>
      </w:r>
      <w:r w:rsidRPr="00687FB1" w:rsidR="00687FB1">
        <w:t>https://www.bpa.gov/-/media/Aep/energy-efficiency/document-library/bpa-clothes-dryers-qpl.xlsx</w:t>
      </w:r>
      <w:r>
        <w:t>.</w:t>
      </w:r>
      <w:r w:rsidR="00EC6801">
        <w:t xml:space="preserve"> </w:t>
      </w:r>
    </w:p>
    <w:p w:rsidR="0011401A" w:rsidP="0011401A" w:rsidRDefault="0011401A" w14:paraId="22EF85CE" w14:textId="77777777">
      <w:pPr>
        <w:pStyle w:val="PR2"/>
      </w:pPr>
      <w:r>
        <w:t>Residential Range Exhaust</w:t>
      </w:r>
    </w:p>
    <w:p w:rsidR="0011401A" w:rsidP="002B7F5A" w:rsidRDefault="0011401A" w14:paraId="1C72C714" w14:textId="3B8B1856">
      <w:pPr>
        <w:pStyle w:val="PR3"/>
      </w:pPr>
      <w:r>
        <w:t>Duct range hoods to the exterior</w:t>
      </w:r>
      <w:r w:rsidR="00F97986">
        <w:t>. F</w:t>
      </w:r>
      <w:r w:rsidR="00A2230B">
        <w:t xml:space="preserve">or </w:t>
      </w:r>
      <w:r w:rsidR="001D7EB8">
        <w:t>buildings with very low air leakage</w:t>
      </w:r>
      <w:r w:rsidR="00B36976">
        <w:t xml:space="preserve">, such as buildings that </w:t>
      </w:r>
      <w:r w:rsidR="00EC2E47">
        <w:t>are at or below</w:t>
      </w:r>
      <w:r w:rsidR="00B36976">
        <w:t xml:space="preserve"> Passive House air leakage</w:t>
      </w:r>
      <w:r w:rsidR="006A4DA6">
        <w:t xml:space="preserve"> target</w:t>
      </w:r>
      <w:r w:rsidR="001D7EB8">
        <w:t>,</w:t>
      </w:r>
      <w:r w:rsidR="00B36976">
        <w:t xml:space="preserve"> </w:t>
      </w:r>
      <w:r w:rsidR="00920164">
        <w:t xml:space="preserve">tenant </w:t>
      </w:r>
      <w:r w:rsidR="006C7C0F">
        <w:t xml:space="preserve">education </w:t>
      </w:r>
      <w:r w:rsidR="00920164">
        <w:t>should</w:t>
      </w:r>
      <w:r w:rsidR="00C95569">
        <w:t xml:space="preserve"> suggest cracking</w:t>
      </w:r>
      <w:r w:rsidR="006C7C0F">
        <w:t xml:space="preserve"> a window may be needed </w:t>
      </w:r>
      <w:r w:rsidR="004D3F90">
        <w:t>to increase range</w:t>
      </w:r>
      <w:r>
        <w:t xml:space="preserve"> hood</w:t>
      </w:r>
      <w:r w:rsidR="006C7C0F">
        <w:t xml:space="preserve"> </w:t>
      </w:r>
      <w:r w:rsidR="004D3F90">
        <w:t>flow performance</w:t>
      </w:r>
      <w:r>
        <w:t>. For studios and one-bedroom units with “distributed” ventilation, a recirculation range hood that meets local code or rating system requirements (</w:t>
      </w:r>
      <w:proofErr w:type="gramStart"/>
      <w:r>
        <w:t>i.e.</w:t>
      </w:r>
      <w:proofErr w:type="gramEnd"/>
      <w:r>
        <w:t xml:space="preserve"> ESDS) may be considered with owner approval.</w:t>
      </w:r>
    </w:p>
    <w:p w:rsidR="0011401A" w:rsidP="0011401A" w:rsidRDefault="0011401A" w14:paraId="43F2439A" w14:textId="77777777">
      <w:pPr>
        <w:pStyle w:val="PR1"/>
        <w:tabs>
          <w:tab w:val="num" w:pos="540"/>
        </w:tabs>
        <w:ind w:left="540" w:hanging="396"/>
      </w:pPr>
      <w:r>
        <w:t xml:space="preserve">Filtration </w:t>
      </w:r>
    </w:p>
    <w:p w:rsidR="0011401A" w:rsidP="0011401A" w:rsidRDefault="0011401A" w14:paraId="40183D4B" w14:textId="77777777">
      <w:pPr>
        <w:pStyle w:val="PR2"/>
      </w:pPr>
      <w:r>
        <w:t xml:space="preserve">Use MERV-13 filters on outdoor air intake of central and unitized systems </w:t>
      </w:r>
      <w:r w:rsidRPr="00DD3BBF">
        <w:t xml:space="preserve">when the </w:t>
      </w:r>
      <w:r>
        <w:t xml:space="preserve">building is located in an area with a </w:t>
      </w:r>
      <w:r w:rsidRPr="00AB32F0">
        <w:t>National Air Toxics Assessment (NATA) Respiratory Hazard Index (HI) and Traffic Proximity rating of 90% or higher</w:t>
      </w:r>
      <w:r>
        <w:t xml:space="preserve">, as determined using </w:t>
      </w:r>
      <w:r w:rsidRPr="00AB32F0">
        <w:t xml:space="preserve">EPA’s </w:t>
      </w:r>
      <w:proofErr w:type="spellStart"/>
      <w:r w:rsidRPr="00AB32F0">
        <w:t>EJScreen</w:t>
      </w:r>
      <w:proofErr w:type="spellEnd"/>
      <w:r>
        <w:t xml:space="preserve"> (</w:t>
      </w:r>
      <w:hyperlink w:history="1" r:id="rId23">
        <w:r w:rsidRPr="006C3DB6">
          <w:rPr>
            <w:rStyle w:val="Hyperlink"/>
          </w:rPr>
          <w:t>https://ejscreen.epa.gov/mapper/</w:t>
        </w:r>
      </w:hyperlink>
      <w:r>
        <w:t xml:space="preserve">) </w:t>
      </w:r>
      <w:r w:rsidRPr="00AB32F0">
        <w:t>mapping tool</w:t>
      </w:r>
      <w:r>
        <w:t xml:space="preserve">. Otherwise, </w:t>
      </w:r>
      <w:r w:rsidRPr="000658B5">
        <w:t>utilize minimum MERV-8 filters</w:t>
      </w:r>
      <w:r>
        <w:t>.</w:t>
      </w:r>
    </w:p>
    <w:p w:rsidR="0011401A" w:rsidP="0011401A" w:rsidRDefault="006A4DA6" w14:paraId="7CF4319F" w14:textId="3673D296">
      <w:pPr>
        <w:pStyle w:val="PR2"/>
      </w:pPr>
      <w:r>
        <w:t xml:space="preserve">For central </w:t>
      </w:r>
      <w:r w:rsidR="00E13B7A">
        <w:t>ventilation systems, p</w:t>
      </w:r>
      <w:r w:rsidR="0011401A">
        <w:t xml:space="preserve">rovide option to readily use MERV-15 or higher level of outdoor air intake filtration </w:t>
      </w:r>
      <w:r w:rsidRPr="008732AD" w:rsidR="0011401A">
        <w:t>during wildfire</w:t>
      </w:r>
      <w:r w:rsidR="0011401A">
        <w:t xml:space="preserve"> smoke events</w:t>
      </w:r>
      <w:r w:rsidRPr="008732AD" w:rsidR="0011401A">
        <w:t xml:space="preserve"> and other periods of poor air quality</w:t>
      </w:r>
      <w:r w:rsidR="0011401A">
        <w:t xml:space="preserve">. </w:t>
      </w:r>
    </w:p>
    <w:p w:rsidR="0011401A" w:rsidP="0011401A" w:rsidRDefault="0011401A" w14:paraId="3F2096A0" w14:textId="3BC6717E">
      <w:pPr>
        <w:pStyle w:val="PR2"/>
      </w:pPr>
      <w:r>
        <w:t xml:space="preserve">For central </w:t>
      </w:r>
      <w:r w:rsidR="00642842">
        <w:t xml:space="preserve">ventilation </w:t>
      </w:r>
      <w:r>
        <w:t xml:space="preserve">systems, equipment must have sensors </w:t>
      </w:r>
      <w:r w:rsidR="00343CAA">
        <w:t xml:space="preserve">that signal when filters need to be replaced, and </w:t>
      </w:r>
      <w:proofErr w:type="gramStart"/>
      <w:r w:rsidR="00343CAA">
        <w:t>triggers</w:t>
      </w:r>
      <w:proofErr w:type="gramEnd"/>
      <w:r w:rsidR="00343CAA">
        <w:t xml:space="preserve"> an</w:t>
      </w:r>
      <w:r w:rsidR="004A008E">
        <w:t xml:space="preserve"> </w:t>
      </w:r>
      <w:r w:rsidR="00915841">
        <w:t>auditory, visual, or digital message</w:t>
      </w:r>
      <w:r>
        <w:t xml:space="preserve"> alert </w:t>
      </w:r>
      <w:r w:rsidR="00915841">
        <w:t xml:space="preserve">that is readily </w:t>
      </w:r>
      <w:r w:rsidR="005E01C4">
        <w:t xml:space="preserve">seen </w:t>
      </w:r>
      <w:r w:rsidR="007829EF">
        <w:t xml:space="preserve">or heard </w:t>
      </w:r>
      <w:r w:rsidR="005E01C4">
        <w:t xml:space="preserve">by building </w:t>
      </w:r>
      <w:r w:rsidR="007829EF">
        <w:t xml:space="preserve">operations </w:t>
      </w:r>
      <w:r w:rsidR="005E01C4">
        <w:t>staff</w:t>
      </w:r>
      <w:r>
        <w:t>.</w:t>
      </w:r>
    </w:p>
    <w:p w:rsidR="0011401A" w:rsidP="0011401A" w:rsidRDefault="0011401A" w14:paraId="603F4753" w14:textId="77777777">
      <w:pPr>
        <w:pStyle w:val="PR1"/>
        <w:tabs>
          <w:tab w:val="num" w:pos="540"/>
        </w:tabs>
        <w:ind w:left="540" w:hanging="396"/>
      </w:pPr>
      <w:r>
        <w:t>Equipment Specs</w:t>
      </w:r>
    </w:p>
    <w:p w:rsidR="0011401A" w:rsidP="0011401A" w:rsidRDefault="0011401A" w14:paraId="76A014C3" w14:textId="77777777">
      <w:pPr>
        <w:pStyle w:val="PR2"/>
      </w:pPr>
      <w:r>
        <w:t>Ventilator Type</w:t>
      </w:r>
    </w:p>
    <w:p w:rsidR="0011401A" w:rsidP="0011401A" w:rsidRDefault="0011401A" w14:paraId="76498655" w14:textId="77777777">
      <w:pPr>
        <w:pStyle w:val="PR3"/>
      </w:pPr>
      <w:r>
        <w:t xml:space="preserve">Use energy recovery ventilator (ERV) for unitized and centralized equipment with wheel type energy recovery. For central systems with plate heat exchangers, provide an option to use heat recovery ventilator (HRV) if </w:t>
      </w:r>
      <w:proofErr w:type="gramStart"/>
      <w:r>
        <w:t>lower</w:t>
      </w:r>
      <w:proofErr w:type="gramEnd"/>
      <w:r>
        <w:t xml:space="preserve"> cost.</w:t>
      </w:r>
    </w:p>
    <w:p w:rsidR="0011401A" w:rsidP="0011401A" w:rsidRDefault="0011401A" w14:paraId="7DB350B4" w14:textId="77777777">
      <w:pPr>
        <w:pStyle w:val="PR2"/>
      </w:pPr>
      <w:r>
        <w:t>Ventilator Sizing</w:t>
      </w:r>
    </w:p>
    <w:p w:rsidR="0011401A" w:rsidP="0011401A" w:rsidRDefault="0011401A" w14:paraId="632C03E6" w14:textId="6B13B979">
      <w:pPr>
        <w:pStyle w:val="PR3"/>
      </w:pPr>
      <w:r>
        <w:t>Use a ventilator with a maximum flow capacity that is at least 25% greater than the design airflow rates to achieve greater heat recovery efficiency and lower fan power.</w:t>
      </w:r>
    </w:p>
    <w:p w:rsidR="0011401A" w:rsidP="0011401A" w:rsidRDefault="0011401A" w14:paraId="2A9E67CC" w14:textId="77777777">
      <w:pPr>
        <w:pStyle w:val="PR2"/>
      </w:pPr>
      <w:r>
        <w:t>Sensible Effectiveness</w:t>
      </w:r>
    </w:p>
    <w:p w:rsidRPr="005564EE" w:rsidR="0011401A" w:rsidP="0011401A" w:rsidRDefault="0011401A" w14:paraId="1A00BD67" w14:textId="3AC0DDF8">
      <w:pPr>
        <w:pStyle w:val="PR3"/>
      </w:pPr>
      <w:r>
        <w:t>S</w:t>
      </w:r>
      <w:r>
        <w:rPr>
          <w:rFonts w:cs="Arial"/>
        </w:rPr>
        <w:t>ensible effectiveness is ≥75% at design supply and exhaust airflow rates</w:t>
      </w:r>
      <w:r w:rsidR="000B7DEC">
        <w:rPr>
          <w:rFonts w:cs="Arial"/>
        </w:rPr>
        <w:t xml:space="preserve">. </w:t>
      </w:r>
    </w:p>
    <w:p w:rsidR="0011401A" w:rsidP="0011401A" w:rsidRDefault="0011401A" w14:paraId="296EC60D" w14:textId="77777777">
      <w:pPr>
        <w:pStyle w:val="PR2"/>
      </w:pPr>
      <w:r>
        <w:t>System Power</w:t>
      </w:r>
    </w:p>
    <w:p w:rsidR="0011401A" w:rsidP="0011401A" w:rsidRDefault="006F67AC" w14:paraId="19B0ABF4" w14:textId="46135290">
      <w:pPr>
        <w:pStyle w:val="PR3"/>
      </w:pPr>
      <w:r>
        <w:t>Total s</w:t>
      </w:r>
      <w:r w:rsidR="0011401A">
        <w:t xml:space="preserve">ystem </w:t>
      </w:r>
      <w:r w:rsidR="00C93BE0">
        <w:t xml:space="preserve">fan </w:t>
      </w:r>
      <w:r w:rsidR="0011401A">
        <w:t>power</w:t>
      </w:r>
      <w:r w:rsidR="00F44B6E">
        <w:t>,</w:t>
      </w:r>
      <w:r w:rsidR="0011401A">
        <w:t xml:space="preserve"> in </w:t>
      </w:r>
      <w:r w:rsidR="00C93BE0">
        <w:t xml:space="preserve">terms of </w:t>
      </w:r>
      <w:r w:rsidR="0011401A">
        <w:t>Watts</w:t>
      </w:r>
      <w:r w:rsidR="00F44B6E">
        <w:t xml:space="preserve"> per </w:t>
      </w:r>
      <w:r w:rsidR="00C93BE0">
        <w:t xml:space="preserve">CFM of supply </w:t>
      </w:r>
      <w:r w:rsidR="00F44B6E">
        <w:t xml:space="preserve">ventilation </w:t>
      </w:r>
      <w:r w:rsidR="00C93BE0">
        <w:t>air flow</w:t>
      </w:r>
      <w:r w:rsidR="0011401A">
        <w:t xml:space="preserve"> </w:t>
      </w:r>
      <w:r w:rsidR="00F44B6E">
        <w:t>(Watts/</w:t>
      </w:r>
      <w:proofErr w:type="spellStart"/>
      <w:r w:rsidR="00F44B6E">
        <w:t>CFM_supply</w:t>
      </w:r>
      <w:proofErr w:type="spellEnd"/>
      <w:r w:rsidR="00F44B6E">
        <w:t xml:space="preserve">) </w:t>
      </w:r>
      <w:r w:rsidR="0011401A">
        <w:t xml:space="preserve">shall be </w:t>
      </w:r>
      <w:r w:rsidR="0011401A">
        <w:rPr>
          <w:rFonts w:cs="Arial"/>
        </w:rPr>
        <w:t>≤</w:t>
      </w:r>
      <w:r w:rsidR="0011401A">
        <w:t>0.8 with clean filters</w:t>
      </w:r>
      <w:r w:rsidR="00602E68">
        <w:t>.</w:t>
      </w:r>
    </w:p>
    <w:p w:rsidR="0011401A" w:rsidP="0011401A" w:rsidRDefault="0011401A" w14:paraId="29C17134" w14:textId="77777777">
      <w:pPr>
        <w:pStyle w:val="PR2"/>
      </w:pPr>
      <w:r>
        <w:t>Cross Leakage</w:t>
      </w:r>
    </w:p>
    <w:p w:rsidR="0011401A" w:rsidP="0011401A" w:rsidRDefault="0011401A" w14:paraId="7D20AF41" w14:textId="32313361">
      <w:pPr>
        <w:pStyle w:val="PR3"/>
      </w:pPr>
      <w:r>
        <w:t xml:space="preserve">For centralized equipment, cross leakage as defined by AHRI-1060 ‘Exhaust Air Transfer Ratio’ (EATR) should be </w:t>
      </w:r>
      <w:r>
        <w:rPr>
          <w:rFonts w:cs="Arial"/>
        </w:rPr>
        <w:t>≤</w:t>
      </w:r>
      <w:r>
        <w:t>3% (</w:t>
      </w:r>
      <w:r>
        <w:rPr>
          <w:rFonts w:cs="Arial"/>
        </w:rPr>
        <w:t>0.03)</w:t>
      </w:r>
      <w:r>
        <w:t xml:space="preserve"> at the design airflow rates.</w:t>
      </w:r>
      <w:r w:rsidR="00650607">
        <w:t xml:space="preserve"> Unitized equipment meets minimum code requirements for cross-leakage.</w:t>
      </w:r>
    </w:p>
    <w:p w:rsidR="00FD6600" w:rsidP="00FD6600" w:rsidRDefault="00FD6600" w14:paraId="46B1E0C7" w14:textId="75BFD9FC">
      <w:pPr>
        <w:pStyle w:val="PR2"/>
      </w:pPr>
      <w:r>
        <w:t xml:space="preserve">Flow </w:t>
      </w:r>
      <w:r w:rsidR="00650607">
        <w:t>Control</w:t>
      </w:r>
    </w:p>
    <w:p w:rsidR="00FD6600" w:rsidP="00FD6600" w:rsidRDefault="008A1FA8" w14:paraId="577653DE" w14:textId="7D9BC964">
      <w:pPr>
        <w:pStyle w:val="PR3"/>
      </w:pPr>
      <w:proofErr w:type="gramStart"/>
      <w:r>
        <w:t>Ventilator</w:t>
      </w:r>
      <w:proofErr w:type="gramEnd"/>
      <w:r>
        <w:t xml:space="preserve"> sh</w:t>
      </w:r>
      <w:r w:rsidR="00815631">
        <w:t xml:space="preserve">all have </w:t>
      </w:r>
      <w:r w:rsidR="00020B26">
        <w:t xml:space="preserve">multi-speed or </w:t>
      </w:r>
      <w:r w:rsidR="007B134F">
        <w:t>variable</w:t>
      </w:r>
      <w:r w:rsidR="00020B26">
        <w:t xml:space="preserve"> </w:t>
      </w:r>
      <w:r w:rsidR="007B134F">
        <w:t xml:space="preserve">speed controls to facilitate balancing, </w:t>
      </w:r>
      <w:r w:rsidR="00C323C2">
        <w:t xml:space="preserve">or </w:t>
      </w:r>
      <w:r w:rsidR="00815631">
        <w:t xml:space="preserve">automatically </w:t>
      </w:r>
      <w:r w:rsidRPr="00FD6600" w:rsidR="00FD6600">
        <w:t xml:space="preserve">adjust fan speed to maintain </w:t>
      </w:r>
      <w:r w:rsidR="00815631">
        <w:t>design flow setpoint</w:t>
      </w:r>
      <w:r w:rsidR="005347A6">
        <w:t xml:space="preserve"> regardless of system pressure drop</w:t>
      </w:r>
      <w:r w:rsidRPr="00FD6600" w:rsidR="00FD6600">
        <w:t>.</w:t>
      </w:r>
    </w:p>
    <w:p w:rsidR="0011401A" w:rsidP="0011401A" w:rsidRDefault="0011401A" w14:paraId="69F048DF" w14:textId="77777777">
      <w:pPr>
        <w:pStyle w:val="PR2"/>
      </w:pPr>
      <w:r>
        <w:t>Heat Recovery Bypass</w:t>
      </w:r>
    </w:p>
    <w:p w:rsidR="0011401A" w:rsidP="0011401A" w:rsidRDefault="0011401A" w14:paraId="42288162" w14:textId="4CBEA287">
      <w:pPr>
        <w:pStyle w:val="PR3"/>
      </w:pPr>
      <w:r>
        <w:t xml:space="preserve">For centralized equipment, provide </w:t>
      </w:r>
      <w:r w:rsidRPr="004C7F97">
        <w:t>a</w:t>
      </w:r>
      <w:r w:rsidR="00CB7BF1">
        <w:t xml:space="preserve"> heat recovery </w:t>
      </w:r>
      <w:r w:rsidRPr="004C7F97">
        <w:t>bypass</w:t>
      </w:r>
      <w:r w:rsidR="00CB7BF1">
        <w:t xml:space="preserve"> </w:t>
      </w:r>
      <w:r w:rsidRPr="004C7F97">
        <w:t xml:space="preserve">or wheel speed control that </w:t>
      </w:r>
      <w:r w:rsidRPr="004C7F97" w:rsidR="00C7554E">
        <w:t>can stop</w:t>
      </w:r>
      <w:r>
        <w:t xml:space="preserve"> energy recovery </w:t>
      </w:r>
      <w:r w:rsidRPr="004C7F97">
        <w:t xml:space="preserve">between </w:t>
      </w:r>
      <w:r w:rsidR="00EB3BE4">
        <w:t>55</w:t>
      </w:r>
      <w:r w:rsidRPr="004C7F97">
        <w:t>°F</w:t>
      </w:r>
      <w:r>
        <w:t xml:space="preserve"> (adj)</w:t>
      </w:r>
      <w:r w:rsidRPr="004C7F97">
        <w:t xml:space="preserve"> and 75°F (</w:t>
      </w:r>
      <w:r>
        <w:t>adj</w:t>
      </w:r>
      <w:r w:rsidRPr="004C7F97">
        <w:t>) outdoor air temperatur</w:t>
      </w:r>
      <w:r>
        <w:t xml:space="preserve">e, or other </w:t>
      </w:r>
      <w:r>
        <w:lastRenderedPageBreak/>
        <w:t xml:space="preserve">control setpoint that minimizes energy recovery when the building is generally </w:t>
      </w:r>
      <w:r w:rsidR="00E00488">
        <w:t>needs</w:t>
      </w:r>
      <w:r>
        <w:t xml:space="preserve"> cooling.</w:t>
      </w:r>
    </w:p>
    <w:p w:rsidR="005564EE" w:rsidP="005564EE" w:rsidRDefault="07A52054" w14:paraId="3F3D34B6" w14:textId="2A4157CB">
      <w:pPr>
        <w:pStyle w:val="PR1"/>
        <w:tabs>
          <w:tab w:val="num" w:pos="540"/>
        </w:tabs>
        <w:ind w:left="540" w:hanging="396"/>
      </w:pPr>
      <w:r>
        <w:t xml:space="preserve">Distribution Design </w:t>
      </w:r>
    </w:p>
    <w:p w:rsidR="00812E66" w:rsidP="00812E66" w:rsidRDefault="00812E66" w14:paraId="48D05F0D" w14:textId="4A2B1371">
      <w:pPr>
        <w:pStyle w:val="PR2"/>
      </w:pPr>
      <w:r>
        <w:t xml:space="preserve">Choose a distribution strategy that minimizes the number of fire and/or smoke dampers and fire-rated shafts.  </w:t>
      </w:r>
    </w:p>
    <w:p w:rsidR="00595E1F" w:rsidP="00595E1F" w:rsidRDefault="07A52054" w14:paraId="64321F87" w14:textId="3845B1F9">
      <w:pPr>
        <w:pStyle w:val="PR2"/>
      </w:pPr>
      <w:r>
        <w:t>Design and install all ducting systems to achieve design airflow rates at an average velocity below 600 feet per minute (fpm)</w:t>
      </w:r>
    </w:p>
    <w:p w:rsidR="00430EB4" w:rsidP="00C260C5" w:rsidRDefault="0056707B" w14:paraId="6E95679C" w14:textId="19344F51">
      <w:pPr>
        <w:pStyle w:val="PR2"/>
      </w:pPr>
      <w:r>
        <w:t>Supply ventilation air to each bedroom and living area</w:t>
      </w:r>
      <w:r w:rsidR="00430EB4">
        <w:t>, and draw exhaust air from all bathrooms, kitchen area, and utility rooms.</w:t>
      </w:r>
    </w:p>
    <w:p w:rsidR="001929D8" w:rsidRDefault="07A52054" w14:paraId="157E195B" w14:textId="16ACD96E">
      <w:pPr>
        <w:pStyle w:val="PR2"/>
      </w:pPr>
      <w:r>
        <w:t>Locate supply diffusers to promote full mixing of supply air into rooms and full removal of contaminates via exhaust flow. Consider where tenants will typically be sitting or sleeping when locating supply air grilles and increase the distance between supply and exhaust points as much as possible. Coordinate supply and exhaust grille placement with architects and owners.</w:t>
      </w:r>
    </w:p>
    <w:p w:rsidR="001929D8" w:rsidRDefault="07A52054" w14:paraId="61681E4F" w14:textId="275CC4E1">
      <w:pPr>
        <w:pStyle w:val="PR2"/>
      </w:pPr>
      <w:r>
        <w:t xml:space="preserve">Kitchen exhaust grilles should be located a minimum of 6’ horizontally from the primary cooking appliance and include a MERV-3 or washable mesh filter. </w:t>
      </w:r>
    </w:p>
    <w:p w:rsidR="00C260C5" w:rsidP="00C260C5" w:rsidRDefault="07A52054" w14:paraId="35EC8619" w14:textId="3EFEE7A6">
      <w:pPr>
        <w:pStyle w:val="PR2"/>
      </w:pPr>
      <w:r>
        <w:t xml:space="preserve">Locate all ductwork within conditioned space to increase system efficiency and eliminate the need for installing supply duct insulation and/or maintaining ductwork exposed to outside elements. </w:t>
      </w:r>
    </w:p>
    <w:p w:rsidR="00C260C5" w:rsidP="00C260C5" w:rsidRDefault="008D29CA" w14:paraId="4DE131F1" w14:textId="20CB009F">
      <w:pPr>
        <w:pStyle w:val="PR2"/>
      </w:pPr>
      <w:r>
        <w:t>Wherever possible, l</w:t>
      </w:r>
      <w:r w:rsidR="07A52054">
        <w:t>ocate ductwork below fire-rated floor/ceiling membrane</w:t>
      </w:r>
      <w:r>
        <w:t xml:space="preserve">. </w:t>
      </w:r>
      <w:r w:rsidR="009465F5">
        <w:t>C</w:t>
      </w:r>
      <w:r>
        <w:t xml:space="preserve">oordinate with architect to identify where </w:t>
      </w:r>
      <w:r w:rsidR="009465F5">
        <w:t xml:space="preserve">exposed ductwork is allowed, where </w:t>
      </w:r>
      <w:r>
        <w:t xml:space="preserve">drop ceilings or soffits are </w:t>
      </w:r>
      <w:r w:rsidR="00F67D8A">
        <w:t>best provided</w:t>
      </w:r>
      <w:r w:rsidR="009465F5">
        <w:t xml:space="preserve">, or </w:t>
      </w:r>
      <w:r w:rsidR="008D2848">
        <w:t xml:space="preserve">method that will be used to allow ductwork to be located </w:t>
      </w:r>
      <w:r w:rsidR="008334E0">
        <w:t xml:space="preserve">withing a </w:t>
      </w:r>
      <w:r w:rsidR="008D2848">
        <w:t xml:space="preserve">fire-rated </w:t>
      </w:r>
      <w:r w:rsidR="008334E0">
        <w:t>assembly</w:t>
      </w:r>
      <w:r w:rsidR="07A52054">
        <w:t xml:space="preserve">. </w:t>
      </w:r>
    </w:p>
    <w:p w:rsidR="00C260C5" w:rsidP="00C260C5" w:rsidRDefault="07A52054" w14:paraId="37B70C25" w14:textId="03B8E143">
      <w:pPr>
        <w:pStyle w:val="PR2"/>
      </w:pPr>
      <w:r>
        <w:t>Locate all unitized H/ERVs inside the conditioned</w:t>
      </w:r>
      <w:r w:rsidR="005D7DDC">
        <w:t xml:space="preserve"> </w:t>
      </w:r>
      <w:r w:rsidR="000B243B">
        <w:t>space and</w:t>
      </w:r>
      <w:r w:rsidR="005D7DDC">
        <w:t xml:space="preserve"> l</w:t>
      </w:r>
      <w:r w:rsidR="005D7DDC">
        <w:t>ocate centralized equipment indoors whenever possible</w:t>
      </w:r>
      <w:r w:rsidR="005D7DDC">
        <w:t>. T</w:t>
      </w:r>
      <w:r>
        <w:t xml:space="preserve">he ducting between the </w:t>
      </w:r>
      <w:r w:rsidR="00CB4895">
        <w:t xml:space="preserve">ventilator </w:t>
      </w:r>
      <w:r>
        <w:t xml:space="preserve">and exterior wall or roof should be: </w:t>
      </w:r>
    </w:p>
    <w:p w:rsidR="00C260C5" w:rsidP="00786514" w:rsidRDefault="00BE7964" w14:paraId="72B725EA" w14:textId="51B1F11F">
      <w:pPr>
        <w:pStyle w:val="PR3"/>
      </w:pPr>
      <w:r w:rsidRPr="00BE7964">
        <w:t>As short as possible. A maximum length of 10</w:t>
      </w:r>
      <w:r w:rsidR="001729A9">
        <w:t xml:space="preserve"> feet</w:t>
      </w:r>
      <w:r w:rsidRPr="00BE7964">
        <w:t xml:space="preserve"> is recommended</w:t>
      </w:r>
      <w:r w:rsidR="00C260C5">
        <w:t>.</w:t>
      </w:r>
    </w:p>
    <w:p w:rsidR="00465327" w:rsidP="00C260C5" w:rsidRDefault="0052571D" w14:paraId="396BF3A2" w14:textId="74DDCA12">
      <w:pPr>
        <w:pStyle w:val="PR3"/>
      </w:pPr>
      <w:r w:rsidRPr="0052571D">
        <w:t>Insulated with minimum R-</w:t>
      </w:r>
      <w:r w:rsidR="00470A5A">
        <w:t>1</w:t>
      </w:r>
      <w:r w:rsidR="00271636">
        <w:t>6</w:t>
      </w:r>
      <w:r w:rsidRPr="0052571D">
        <w:t xml:space="preserve"> and vapor barrier from exterior assembly to H/ERV with no gaps or voids</w:t>
      </w:r>
      <w:r w:rsidR="00C260C5">
        <w:t>.</w:t>
      </w:r>
    </w:p>
    <w:p w:rsidR="005D7DDC" w:rsidP="005D7DDC" w:rsidRDefault="005D7DDC" w14:paraId="2F6E1020" w14:textId="4086EF84">
      <w:pPr>
        <w:pStyle w:val="PR2"/>
      </w:pPr>
      <w:r>
        <w:t xml:space="preserve">When </w:t>
      </w:r>
      <w:r>
        <w:t xml:space="preserve">centralized equipment </w:t>
      </w:r>
      <w:r>
        <w:t xml:space="preserve">is </w:t>
      </w:r>
      <w:r>
        <w:t xml:space="preserve">located </w:t>
      </w:r>
      <w:r>
        <w:t>out</w:t>
      </w:r>
      <w:r>
        <w:t xml:space="preserve">side, the ducting between the </w:t>
      </w:r>
      <w:r>
        <w:t xml:space="preserve">ventilator </w:t>
      </w:r>
      <w:r>
        <w:t xml:space="preserve">and </w:t>
      </w:r>
      <w:r>
        <w:t xml:space="preserve">the building </w:t>
      </w:r>
      <w:r>
        <w:t xml:space="preserve">should be: </w:t>
      </w:r>
    </w:p>
    <w:p w:rsidR="005D7DDC" w:rsidP="005D7DDC" w:rsidRDefault="005D7DDC" w14:paraId="2C6D76E4" w14:textId="77777777">
      <w:pPr>
        <w:pStyle w:val="PR3"/>
      </w:pPr>
      <w:r w:rsidRPr="00BE7964">
        <w:t>As short as possible. A maximum length of 10</w:t>
      </w:r>
      <w:r>
        <w:t xml:space="preserve"> feet</w:t>
      </w:r>
      <w:r w:rsidRPr="00BE7964">
        <w:t xml:space="preserve"> is recommended</w:t>
      </w:r>
      <w:r>
        <w:t>.</w:t>
      </w:r>
    </w:p>
    <w:p w:rsidR="005D7DDC" w:rsidP="005D7DDC" w:rsidRDefault="005D7DDC" w14:paraId="6307705A" w14:textId="33D68EE0">
      <w:pPr>
        <w:pStyle w:val="PR3"/>
      </w:pPr>
      <w:r w:rsidRPr="0052571D">
        <w:t xml:space="preserve">Insulated </w:t>
      </w:r>
      <w:r w:rsidR="00E44800">
        <w:t xml:space="preserve">ductwork </w:t>
      </w:r>
      <w:r w:rsidRPr="0052571D">
        <w:t>with</w:t>
      </w:r>
      <w:r w:rsidR="00E44800">
        <w:t xml:space="preserve"> to a</w:t>
      </w:r>
      <w:r w:rsidRPr="0052571D">
        <w:t xml:space="preserve"> minimum R-</w:t>
      </w:r>
      <w:r w:rsidR="00CB4895">
        <w:t>20</w:t>
      </w:r>
      <w:r w:rsidR="00E44800">
        <w:t>.</w:t>
      </w:r>
    </w:p>
    <w:p w:rsidR="00C260C5" w:rsidP="00786514" w:rsidRDefault="00465327" w14:paraId="578EBFAF" w14:textId="1063B406">
      <w:pPr>
        <w:pStyle w:val="PR2"/>
      </w:pPr>
      <w:r>
        <w:t xml:space="preserve">Seal all </w:t>
      </w:r>
      <w:r w:rsidR="003B4F28">
        <w:t>ductwork to SMACNA Seal Class A</w:t>
      </w:r>
      <w:r w:rsidR="00984244">
        <w:t xml:space="preserve"> standards</w:t>
      </w:r>
      <w:r w:rsidR="003B4F28">
        <w:t>, with</w:t>
      </w:r>
      <w:r w:rsidR="009E0CB6">
        <w:t xml:space="preserve"> a target </w:t>
      </w:r>
      <w:r w:rsidR="00E44800">
        <w:t xml:space="preserve">tested </w:t>
      </w:r>
      <w:r w:rsidR="009E0CB6">
        <w:t xml:space="preserve">air leakage less than </w:t>
      </w:r>
      <w:r w:rsidR="00E44800">
        <w:t>10</w:t>
      </w:r>
      <w:r w:rsidR="009E0CB6">
        <w:t>% of design flow rate.</w:t>
      </w:r>
    </w:p>
    <w:p w:rsidR="00306F94" w:rsidP="00247830" w:rsidRDefault="07A52054" w14:paraId="18190ABA" w14:textId="17322D0D">
      <w:pPr>
        <w:pStyle w:val="PR1"/>
        <w:tabs>
          <w:tab w:val="num" w:pos="540"/>
        </w:tabs>
        <w:ind w:left="540" w:hanging="396"/>
      </w:pPr>
      <w:r>
        <w:t>Optimized Equipment Placement</w:t>
      </w:r>
    </w:p>
    <w:p w:rsidR="00306F94" w:rsidP="00306F94" w:rsidRDefault="00306F94" w14:paraId="612F4AE9" w14:textId="21B861DF">
      <w:pPr>
        <w:pStyle w:val="PR2"/>
      </w:pPr>
      <w:r>
        <w:t xml:space="preserve">Consider structural requirements, zoning requirements, impact on solar and tenant amenity real estate, and equipment replacement when locating equipment on roof. </w:t>
      </w:r>
    </w:p>
    <w:p w:rsidR="00306F94" w:rsidP="00306F94" w:rsidRDefault="00306F94" w14:paraId="0456E68E" w14:textId="2B651E9F">
      <w:pPr>
        <w:pStyle w:val="PR2"/>
      </w:pPr>
      <w:r>
        <w:t xml:space="preserve">Locate </w:t>
      </w:r>
      <w:r w:rsidR="00D369A0">
        <w:t>outside air</w:t>
      </w:r>
      <w:r>
        <w:t xml:space="preserve"> intake</w:t>
      </w:r>
      <w:r w:rsidR="00D369A0">
        <w:t xml:space="preserve">s for </w:t>
      </w:r>
      <w:r>
        <w:t>H/ERV</w:t>
      </w:r>
      <w:r w:rsidR="00D369A0">
        <w:t>s</w:t>
      </w:r>
      <w:r>
        <w:t xml:space="preserve"> to minimize contamination from outdoor pollutants (smells, particulates) and consider temperature of air at intake location during summer and winter. </w:t>
      </w:r>
    </w:p>
    <w:p w:rsidR="00306F94" w:rsidP="00306F94" w:rsidRDefault="00306F94" w14:paraId="29A11448" w14:textId="579EA7FC">
      <w:pPr>
        <w:pStyle w:val="PR2"/>
      </w:pPr>
      <w:r>
        <w:t xml:space="preserve">Engage an acoustical consultant to evaluate requirements for equipment mounting and sound attenuation devices. </w:t>
      </w:r>
    </w:p>
    <w:p w:rsidR="00306F94" w:rsidP="00306F94" w:rsidRDefault="00306F94" w14:paraId="5F20E031" w14:textId="52535BD5">
      <w:pPr>
        <w:pStyle w:val="PR2"/>
      </w:pPr>
      <w:r>
        <w:t xml:space="preserve">Ensure </w:t>
      </w:r>
      <w:r w:rsidR="007E4D38">
        <w:t>H/ERVs are</w:t>
      </w:r>
      <w:r>
        <w:t xml:space="preserve"> accessible for maintenance and future replacement. The expected useful life of </w:t>
      </w:r>
      <w:r w:rsidR="007E4D38">
        <w:t xml:space="preserve">this </w:t>
      </w:r>
      <w:r>
        <w:t>equipment is 10-20 years if properly maintained.</w:t>
      </w:r>
    </w:p>
    <w:p w:rsidR="00306F94" w:rsidP="00306F94" w:rsidRDefault="07A52054" w14:paraId="120CF864" w14:textId="242A8FE9">
      <w:pPr>
        <w:pStyle w:val="PR1"/>
        <w:tabs>
          <w:tab w:val="num" w:pos="540"/>
        </w:tabs>
        <w:ind w:left="540" w:hanging="396"/>
      </w:pPr>
      <w:r>
        <w:t>Common-Area Ventilation Strategies</w:t>
      </w:r>
    </w:p>
    <w:p w:rsidR="00306F94" w:rsidP="00306F94" w:rsidRDefault="00306F94" w14:paraId="73BF6EDD" w14:textId="62F6C920">
      <w:pPr>
        <w:pStyle w:val="PR2"/>
      </w:pPr>
      <w:r>
        <w:t>Common</w:t>
      </w:r>
      <w:r w:rsidR="00761E85">
        <w:t xml:space="preserve"> </w:t>
      </w:r>
      <w:r>
        <w:t>Area Ventilation with Heat Recovery</w:t>
      </w:r>
    </w:p>
    <w:p w:rsidR="00306F94" w:rsidP="00306F94" w:rsidRDefault="00306F94" w14:paraId="777AF00E" w14:textId="02D105F1">
      <w:pPr>
        <w:pStyle w:val="PR3"/>
      </w:pPr>
      <w:r>
        <w:t>Serve corridors and other habitable common areas with systems th</w:t>
      </w:r>
      <w:r w:rsidR="00C17E8E">
        <w:t>at</w:t>
      </w:r>
      <w:r>
        <w:t xml:space="preserve"> comply with WSEC C403.3.5 DOAS </w:t>
      </w:r>
      <w:r w:rsidR="00C17E8E">
        <w:t xml:space="preserve">requirements </w:t>
      </w:r>
      <w:r>
        <w:t xml:space="preserve">and provide no more </w:t>
      </w:r>
      <w:r w:rsidR="006B5D2B">
        <w:t>than</w:t>
      </w:r>
      <w:r>
        <w:t xml:space="preserve"> 130% of the code-required ventilation</w:t>
      </w:r>
      <w:r w:rsidR="00761E85">
        <w:t>.</w:t>
      </w:r>
    </w:p>
    <w:p w:rsidR="00930796" w:rsidP="00930796" w:rsidRDefault="00930796" w14:paraId="2358EF62" w14:textId="3CD4C2AF">
      <w:pPr>
        <w:pStyle w:val="PR2"/>
      </w:pPr>
      <w:r>
        <w:t>Common</w:t>
      </w:r>
      <w:r w:rsidR="00761E85">
        <w:t xml:space="preserve"> </w:t>
      </w:r>
      <w:r>
        <w:t>Area Laundry Rooms</w:t>
      </w:r>
    </w:p>
    <w:p w:rsidR="00930796" w:rsidP="00930796" w:rsidRDefault="00930796" w14:paraId="534D8138" w14:textId="1B742ADB">
      <w:pPr>
        <w:pStyle w:val="PR3"/>
      </w:pPr>
      <w:r>
        <w:t xml:space="preserve">Use un-tempered outdoor air </w:t>
      </w:r>
      <w:r w:rsidR="00C7673E">
        <w:t xml:space="preserve">as make-up air for </w:t>
      </w:r>
      <w:r>
        <w:t>laundry rooms</w:t>
      </w:r>
      <w:r w:rsidR="00C7673E">
        <w:t>, supplied</w:t>
      </w:r>
      <w:r w:rsidR="00617894">
        <w:t xml:space="preserve"> </w:t>
      </w:r>
      <w:r w:rsidR="00C7673E">
        <w:t xml:space="preserve">as close as possible to </w:t>
      </w:r>
      <w:r>
        <w:t>back of dryers</w:t>
      </w:r>
      <w:r w:rsidR="00C7673E">
        <w:t>.</w:t>
      </w:r>
    </w:p>
    <w:p w:rsidR="00930796" w:rsidRDefault="07A52054" w14:paraId="49AC66DB" w14:textId="658EB483">
      <w:pPr>
        <w:pStyle w:val="PR1"/>
        <w:tabs>
          <w:tab w:val="num" w:pos="540"/>
        </w:tabs>
        <w:ind w:left="540" w:hanging="396"/>
      </w:pPr>
      <w:r>
        <w:t>Related Building Attributes</w:t>
      </w:r>
    </w:p>
    <w:p w:rsidR="00930796" w:rsidP="00930796" w:rsidRDefault="00930796" w14:paraId="1D5E6744" w14:textId="6A388D83">
      <w:pPr>
        <w:pStyle w:val="PR2"/>
      </w:pPr>
      <w:r>
        <w:t>Confirm that the following items are accounted for in the architects/engineers/</w:t>
      </w:r>
      <w:proofErr w:type="gramStart"/>
      <w:r>
        <w:t>contractors</w:t>
      </w:r>
      <w:proofErr w:type="gramEnd"/>
      <w:r>
        <w:t xml:space="preserve"> scope</w:t>
      </w:r>
      <w:r w:rsidR="00761E85">
        <w:t>:</w:t>
      </w:r>
    </w:p>
    <w:p w:rsidR="00930796" w:rsidP="00930796" w:rsidRDefault="00930796" w14:paraId="4BB73198" w14:textId="593FB51A">
      <w:pPr>
        <w:pStyle w:val="PR3"/>
      </w:pPr>
      <w:r>
        <w:t xml:space="preserve">HVAC systems sizing calculations, as well as electrical service space heating loads account for reduced heating demand due to lower ventilation air loads and tighter envelope. </w:t>
      </w:r>
    </w:p>
    <w:p w:rsidR="00930796" w:rsidP="00930796" w:rsidRDefault="00930796" w14:paraId="4DF6673D" w14:textId="0A7402CF">
      <w:pPr>
        <w:pStyle w:val="PR3"/>
      </w:pPr>
      <w:r>
        <w:t xml:space="preserve">Trickle vents in windows are no longer required and should be excluded from </w:t>
      </w:r>
      <w:r w:rsidR="00D31890">
        <w:t xml:space="preserve">all </w:t>
      </w:r>
      <w:r>
        <w:t xml:space="preserve">cost estimates. </w:t>
      </w:r>
    </w:p>
    <w:p w:rsidR="00930796" w:rsidP="00930796" w:rsidRDefault="00930796" w14:paraId="30BB659A" w14:textId="45330552">
      <w:pPr>
        <w:pStyle w:val="PR3"/>
      </w:pPr>
      <w:r>
        <w:lastRenderedPageBreak/>
        <w:t xml:space="preserve">Centralized systems may </w:t>
      </w:r>
      <w:r w:rsidR="008607A9">
        <w:t xml:space="preserve">need </w:t>
      </w:r>
      <w:r w:rsidR="00DB1547">
        <w:t>“</w:t>
      </w:r>
      <w:r w:rsidR="008607A9">
        <w:t xml:space="preserve">legally </w:t>
      </w:r>
      <w:r>
        <w:t>require</w:t>
      </w:r>
      <w:r w:rsidR="008607A9">
        <w:t>d</w:t>
      </w:r>
      <w:r>
        <w:t xml:space="preserve"> standby power</w:t>
      </w:r>
      <w:r w:rsidR="00DB1547">
        <w:t>”</w:t>
      </w:r>
      <w:r>
        <w:t xml:space="preserve"> to satisfy fire/smoke damper exceptions or approved code alternates. </w:t>
      </w:r>
    </w:p>
    <w:p w:rsidR="00930796" w:rsidP="00930796" w:rsidRDefault="00930796" w14:paraId="38CB697B" w14:textId="550E6A23">
      <w:pPr>
        <w:pStyle w:val="PR3"/>
      </w:pPr>
      <w:r>
        <w:t xml:space="preserve">Centralized systems and layout of in-unit ducts often require additional coordination among design team and contractors.  </w:t>
      </w:r>
    </w:p>
    <w:p w:rsidR="00930796" w:rsidP="00EA05A0" w:rsidRDefault="07A52054" w14:paraId="2641E3F2" w14:textId="1F3A0E12">
      <w:pPr>
        <w:pStyle w:val="PR1"/>
        <w:tabs>
          <w:tab w:val="num" w:pos="540"/>
        </w:tabs>
        <w:ind w:left="540" w:hanging="396"/>
      </w:pPr>
      <w:r>
        <w:t>Construction &amp; Commissioning</w:t>
      </w:r>
    </w:p>
    <w:p w:rsidR="004B3DCB" w:rsidP="004B3DCB" w:rsidRDefault="004B3DCB" w14:paraId="39080065" w14:textId="529CE561">
      <w:pPr>
        <w:pStyle w:val="PR2"/>
      </w:pPr>
      <w:r>
        <w:t xml:space="preserve">Review plans to confirm equipment </w:t>
      </w:r>
      <w:r w:rsidR="000E7D42">
        <w:t xml:space="preserve">and duct </w:t>
      </w:r>
      <w:r>
        <w:t xml:space="preserve">access for </w:t>
      </w:r>
      <w:r w:rsidR="000E7D42">
        <w:t>test and balanc</w:t>
      </w:r>
      <w:r w:rsidR="00F73F8B">
        <w:t>e (TAB) activities</w:t>
      </w:r>
      <w:r w:rsidR="0057260F">
        <w:t xml:space="preserve"> </w:t>
      </w:r>
      <w:r w:rsidR="00423394">
        <w:t>and maintenance</w:t>
      </w:r>
      <w:r>
        <w:t xml:space="preserve">. </w:t>
      </w:r>
    </w:p>
    <w:p w:rsidR="00445323" w:rsidP="004B3DCB" w:rsidRDefault="00445323" w14:paraId="48F5F760" w14:textId="084F451C">
      <w:pPr>
        <w:pStyle w:val="PR2"/>
      </w:pPr>
      <w:r>
        <w:t xml:space="preserve">Mechanical plans </w:t>
      </w:r>
      <w:r w:rsidR="009C314D">
        <w:t>or submittal</w:t>
      </w:r>
      <w:r w:rsidR="00CB033E">
        <w:t>s</w:t>
      </w:r>
      <w:r w:rsidR="009C314D">
        <w:t xml:space="preserve"> </w:t>
      </w:r>
      <w:r>
        <w:t xml:space="preserve">clearly identify the design </w:t>
      </w:r>
      <w:r w:rsidR="00EB3E70">
        <w:t xml:space="preserve">supply and exhaust </w:t>
      </w:r>
      <w:r>
        <w:t>flow</w:t>
      </w:r>
      <w:r w:rsidR="00EB3E70">
        <w:t>s for every H/ER</w:t>
      </w:r>
      <w:r w:rsidR="000B243B">
        <w:t>V and every air inlet/outlet,</w:t>
      </w:r>
      <w:r w:rsidR="00EB3E70">
        <w:t xml:space="preserve"> as well as design </w:t>
      </w:r>
      <w:r w:rsidR="003E5102">
        <w:t>t</w:t>
      </w:r>
      <w:r w:rsidR="003E5102">
        <w:t>otal system fan power</w:t>
      </w:r>
      <w:r w:rsidR="003E5102">
        <w:t xml:space="preserve"> (</w:t>
      </w:r>
      <w:r w:rsidR="00423394">
        <w:t>W</w:t>
      </w:r>
      <w:r w:rsidR="00FA7BC3">
        <w:t>atts</w:t>
      </w:r>
      <w:r w:rsidR="00423394">
        <w:t>/</w:t>
      </w:r>
      <w:proofErr w:type="spellStart"/>
      <w:r w:rsidR="00423394">
        <w:t>CFM</w:t>
      </w:r>
      <w:r w:rsidR="000B243B">
        <w:t>_supply</w:t>
      </w:r>
      <w:proofErr w:type="spellEnd"/>
      <w:r w:rsidR="003E5102">
        <w:t>).</w:t>
      </w:r>
    </w:p>
    <w:p w:rsidR="003E7F34" w:rsidP="004B3DCB" w:rsidRDefault="07A52054" w14:paraId="58FF8399" w14:textId="5B103A3F">
      <w:pPr>
        <w:pStyle w:val="PR2"/>
      </w:pPr>
      <w:r>
        <w:t>Mechanical contractor and TAB contractor coordinate and produce a TAB plan for all major systems, and submit to design and commissioning team prior to completing ductwork rough-in.</w:t>
      </w:r>
    </w:p>
    <w:p w:rsidR="00CB3190" w:rsidP="00AC6C35" w:rsidRDefault="00DB1936" w14:paraId="3E82E2D8" w14:textId="77777777">
      <w:pPr>
        <w:pStyle w:val="PR2"/>
      </w:pPr>
      <w:r>
        <w:t>For centralized systems, test</w:t>
      </w:r>
      <w:r w:rsidR="00B01F92">
        <w:t xml:space="preserve"> total duct system leakage p</w:t>
      </w:r>
      <w:r w:rsidRPr="00AC6C35" w:rsidR="00AC6C35">
        <w:t>rior to covering duct</w:t>
      </w:r>
      <w:r w:rsidR="00B01F92">
        <w:t xml:space="preserve">s. </w:t>
      </w:r>
    </w:p>
    <w:p w:rsidR="007F5B9F" w:rsidP="00CB3190" w:rsidRDefault="00CB3190" w14:paraId="79B3BD4A" w14:textId="15E6E42E">
      <w:pPr>
        <w:pStyle w:val="PR3"/>
      </w:pPr>
      <w:r>
        <w:t>Scope of leakage testing includes connection to air handler, all</w:t>
      </w:r>
      <w:r w:rsidR="008B3EDB">
        <w:t xml:space="preserve"> major trunk </w:t>
      </w:r>
      <w:proofErr w:type="gramStart"/>
      <w:r w:rsidR="008B3EDB">
        <w:t>ducts</w:t>
      </w:r>
      <w:proofErr w:type="gramEnd"/>
      <w:r w:rsidR="008B3EDB">
        <w:t xml:space="preserve"> and</w:t>
      </w:r>
      <w:r w:rsidR="001D07DF">
        <w:t xml:space="preserve"> branch ducts to </w:t>
      </w:r>
      <w:r w:rsidR="004A3B07">
        <w:t xml:space="preserve">dwelling </w:t>
      </w:r>
      <w:r>
        <w:t>units</w:t>
      </w:r>
      <w:r w:rsidR="001D07DF">
        <w:t>.</w:t>
      </w:r>
    </w:p>
    <w:p w:rsidR="000D6329" w:rsidP="007F5B9F" w:rsidRDefault="00CB3190" w14:paraId="2D46E00D" w14:textId="54A32260">
      <w:pPr>
        <w:pStyle w:val="PR3"/>
      </w:pPr>
      <w:r>
        <w:t xml:space="preserve">Test conducted at the system design </w:t>
      </w:r>
      <w:r w:rsidR="00DE5035">
        <w:t xml:space="preserve">operating </w:t>
      </w:r>
      <w:r w:rsidR="00DA447B">
        <w:t>pressure</w:t>
      </w:r>
      <w:r w:rsidR="000332F3">
        <w:t>s</w:t>
      </w:r>
      <w:r w:rsidR="00454653">
        <w:t>.</w:t>
      </w:r>
    </w:p>
    <w:p w:rsidR="00166C5A" w:rsidRDefault="00D33549" w14:paraId="5FEC4112" w14:textId="7AF10C41">
      <w:pPr>
        <w:pStyle w:val="PR3"/>
      </w:pPr>
      <w:r>
        <w:t>The tested</w:t>
      </w:r>
      <w:r w:rsidR="000332F3">
        <w:t xml:space="preserve"> total duct leakage does not exceed </w:t>
      </w:r>
      <w:r w:rsidR="00F93E76">
        <w:t>10</w:t>
      </w:r>
      <w:r w:rsidRPr="00AC6C35" w:rsidR="00B01F92">
        <w:t>% of design flow rate</w:t>
      </w:r>
      <w:r w:rsidR="000332F3">
        <w:t>. I</w:t>
      </w:r>
      <w:r w:rsidR="007A5717">
        <w:t xml:space="preserve">f this threshold is exceeded, leakage points to be identified and remediated until tested leakage meets the </w:t>
      </w:r>
      <w:r w:rsidR="00F93E76">
        <w:t>10</w:t>
      </w:r>
      <w:r w:rsidR="007A5717">
        <w:t>% limit.</w:t>
      </w:r>
    </w:p>
    <w:p w:rsidR="002C49D9" w:rsidP="002C49D9" w:rsidRDefault="002C49D9" w14:paraId="3394AA00" w14:textId="77777777">
      <w:pPr>
        <w:pStyle w:val="PR2"/>
      </w:pPr>
      <w:r>
        <w:t xml:space="preserve">Properly protect distribution system and ventilation equipment from dust during construction and install new filters prior to balancing/commissioning. </w:t>
      </w:r>
    </w:p>
    <w:p w:rsidR="004B3DCB" w:rsidP="004B3DCB" w:rsidRDefault="07A52054" w14:paraId="31A01BF1" w14:textId="7EAC1534">
      <w:pPr>
        <w:pStyle w:val="PR2"/>
      </w:pPr>
      <w:r>
        <w:t xml:space="preserve">100% TAB and commissioning of all ventilation systems, including: </w:t>
      </w:r>
    </w:p>
    <w:p w:rsidR="00115413" w:rsidP="004B3DCB" w:rsidRDefault="004B3DCB" w14:paraId="018D2598" w14:textId="0AF99402">
      <w:pPr>
        <w:pStyle w:val="PR3"/>
      </w:pPr>
      <w:r>
        <w:t xml:space="preserve">Measurement of supply/exhaust flow rates (CFM) at all </w:t>
      </w:r>
      <w:r w:rsidR="00BB1C1E">
        <w:t>inlets/outlets.</w:t>
      </w:r>
    </w:p>
    <w:p w:rsidR="004B3DCB" w:rsidP="004B3DCB" w:rsidRDefault="07A52054" w14:paraId="665CC125" w14:textId="2B447804">
      <w:pPr>
        <w:pStyle w:val="PR3"/>
      </w:pPr>
      <w:r>
        <w:t>For centralized systems, measurement of total system supply/exhaust flow at the main air handler or immediately downstream of air handler. Provide access panels as necessary to measure total system airflows using a duct traverse measurement or other acceptable method even after rest of ducts are covered.</w:t>
      </w:r>
    </w:p>
    <w:p w:rsidR="004B3DCB" w:rsidP="004B3DCB" w:rsidRDefault="07A52054" w14:paraId="0F6A850E" w14:textId="143AEDC3">
      <w:pPr>
        <w:pStyle w:val="PR3"/>
      </w:pPr>
      <w:r>
        <w:t xml:space="preserve">Verification that </w:t>
      </w:r>
      <w:proofErr w:type="gramStart"/>
      <w:r>
        <w:t>clean</w:t>
      </w:r>
      <w:proofErr w:type="gramEnd"/>
      <w:r>
        <w:t xml:space="preserve"> filters with correct MERV rating are installed. </w:t>
      </w:r>
    </w:p>
    <w:p w:rsidR="004B3DCB" w:rsidP="004B3DCB" w:rsidRDefault="009D1D11" w14:paraId="047F310C" w14:textId="6EB48AEA">
      <w:pPr>
        <w:pStyle w:val="PR3"/>
      </w:pPr>
      <w:r>
        <w:t>M</w:t>
      </w:r>
      <w:r w:rsidR="004B3DCB">
        <w:t xml:space="preserve">easure </w:t>
      </w:r>
      <w:r w:rsidR="00CB6BB1">
        <w:t xml:space="preserve">total </w:t>
      </w:r>
      <w:r w:rsidR="004B3DCB">
        <w:t xml:space="preserve">system </w:t>
      </w:r>
      <w:r>
        <w:t xml:space="preserve">input </w:t>
      </w:r>
      <w:r w:rsidR="00CB6BB1">
        <w:t xml:space="preserve">power (Watts) </w:t>
      </w:r>
      <w:r>
        <w:t xml:space="preserve">at final balanced </w:t>
      </w:r>
      <w:r w:rsidR="00744A63">
        <w:t xml:space="preserve">airflow </w:t>
      </w:r>
      <w:r>
        <w:t>conditions with clean filters installed.</w:t>
      </w:r>
    </w:p>
    <w:p w:rsidR="009D1D11" w:rsidP="00786514" w:rsidRDefault="009D1D11" w14:paraId="1F8C1A5D" w14:textId="4815E7CB">
      <w:pPr>
        <w:pStyle w:val="PR4"/>
      </w:pPr>
      <w:r>
        <w:t xml:space="preserve">For centralized systems, measure system power </w:t>
      </w:r>
      <w:r w:rsidR="00744A63">
        <w:t>for all H/ERVs.</w:t>
      </w:r>
    </w:p>
    <w:p w:rsidR="008E5620" w:rsidP="00786514" w:rsidRDefault="004B3DCB" w14:paraId="14C13A54" w14:textId="646827B7">
      <w:pPr>
        <w:pStyle w:val="PR4"/>
      </w:pPr>
      <w:r>
        <w:t>For unitized</w:t>
      </w:r>
      <w:r w:rsidR="00AE17D6">
        <w:t xml:space="preserve"> systems, </w:t>
      </w:r>
      <w:r>
        <w:t xml:space="preserve">measure </w:t>
      </w:r>
      <w:r w:rsidR="00AE17D6">
        <w:t xml:space="preserve">system power for </w:t>
      </w:r>
      <w:r w:rsidR="00744A63">
        <w:t>at least 1</w:t>
      </w:r>
      <w:r w:rsidR="00064EB5">
        <w:t>0%</w:t>
      </w:r>
      <w:r w:rsidR="00744A63">
        <w:t xml:space="preserve"> of apartments</w:t>
      </w:r>
      <w:r w:rsidR="00064EB5">
        <w:t>, including a re</w:t>
      </w:r>
      <w:r>
        <w:t xml:space="preserve">presentative </w:t>
      </w:r>
      <w:r w:rsidR="008E5620">
        <w:t xml:space="preserve">selection of different </w:t>
      </w:r>
      <w:r>
        <w:t>unit type</w:t>
      </w:r>
      <w:r w:rsidR="008E5620">
        <w:t>s</w:t>
      </w:r>
      <w:r w:rsidR="00744A63">
        <w:t xml:space="preserve"> and ducting conditions.</w:t>
      </w:r>
    </w:p>
    <w:p w:rsidR="00930796" w:rsidP="004B3DCB" w:rsidRDefault="07A52054" w14:paraId="250AB156" w14:textId="5A9E0EBE">
      <w:pPr>
        <w:pStyle w:val="PR3"/>
      </w:pPr>
      <w:r>
        <w:t>Calculate</w:t>
      </w:r>
      <w:r w:rsidR="00BB1C1E">
        <w:t xml:space="preserve"> total</w:t>
      </w:r>
      <w:r>
        <w:t xml:space="preserve"> </w:t>
      </w:r>
      <w:r w:rsidR="00FA7BC3">
        <w:t xml:space="preserve">system fan </w:t>
      </w:r>
      <w:r w:rsidR="00F44B6E">
        <w:t>power</w:t>
      </w:r>
      <w:r w:rsidR="00FA7BC3">
        <w:t xml:space="preserve"> (</w:t>
      </w:r>
      <w:r>
        <w:t>Watts/</w:t>
      </w:r>
      <w:proofErr w:type="spellStart"/>
      <w:r>
        <w:t>CFM</w:t>
      </w:r>
      <w:r w:rsidR="00F44B6E">
        <w:t>_supply</w:t>
      </w:r>
      <w:proofErr w:type="spellEnd"/>
      <w:r w:rsidR="00FA7BC3">
        <w:t>)</w:t>
      </w:r>
      <w:r>
        <w:t xml:space="preserve"> for each system. If any system power measurement does not meet the Watts/</w:t>
      </w:r>
      <w:proofErr w:type="spellStart"/>
      <w:r>
        <w:t>CFM</w:t>
      </w:r>
      <w:r w:rsidR="00F44B6E">
        <w:t>_supply</w:t>
      </w:r>
      <w:proofErr w:type="spellEnd"/>
      <w:r>
        <w:t xml:space="preserve"> power specification for the project, test all units to confirm how many systems do not meet the specification and investigate why.</w:t>
      </w:r>
    </w:p>
    <w:p w:rsidR="004B3DCB" w:rsidP="004B3DCB" w:rsidRDefault="07A52054" w14:paraId="67A3F2B4" w14:textId="33E25356">
      <w:pPr>
        <w:pStyle w:val="PR1"/>
        <w:tabs>
          <w:tab w:val="num" w:pos="540"/>
        </w:tabs>
        <w:ind w:left="540" w:hanging="396"/>
      </w:pPr>
      <w:r>
        <w:t>Operations</w:t>
      </w:r>
    </w:p>
    <w:p w:rsidR="004B3DCB" w:rsidP="004B3DCB" w:rsidRDefault="004B3DCB" w14:paraId="291CFE4F" w14:textId="4C02AB29">
      <w:pPr>
        <w:pStyle w:val="PR2"/>
      </w:pPr>
      <w:r>
        <w:t xml:space="preserve">Ensure supply and exhaust filters are readily accessible, are inspected every three to six months, and are replaced at minimum </w:t>
      </w:r>
      <w:r w:rsidR="008F764F">
        <w:t>twice per year</w:t>
      </w:r>
      <w:r>
        <w:t xml:space="preserve">. </w:t>
      </w:r>
    </w:p>
    <w:p w:rsidR="004B3DCB" w:rsidP="004B3DCB" w:rsidRDefault="004B3DCB" w14:paraId="5854F484" w14:textId="0BAE56F0">
      <w:pPr>
        <w:pStyle w:val="PR2"/>
      </w:pPr>
      <w:r>
        <w:t xml:space="preserve">Inspect filtration after seasonal smoke events. </w:t>
      </w:r>
    </w:p>
    <w:p w:rsidR="004A7E5E" w:rsidP="00786514" w:rsidRDefault="004B3DCB" w14:paraId="530FFA21" w14:textId="32779CAB">
      <w:pPr>
        <w:pStyle w:val="PR2"/>
      </w:pPr>
      <w:r>
        <w:t xml:space="preserve">Consider washable/vacuumable pre-filters </w:t>
      </w:r>
      <w:r w:rsidR="00A64D14">
        <w:t>to</w:t>
      </w:r>
      <w:r>
        <w:t xml:space="preserve"> extend life of primary filter.</w:t>
      </w:r>
    </w:p>
    <w:p w:rsidR="004A7E5E" w:rsidP="00786514" w:rsidRDefault="006F745A" w14:paraId="777C525C" w14:textId="5FADBC45">
      <w:pPr>
        <w:pStyle w:val="PR3"/>
        <w:numPr>
          <w:ilvl w:val="4"/>
          <w:numId w:val="0"/>
        </w:numPr>
      </w:pPr>
      <w:r>
        <w:pict w14:anchorId="3ADD87C1">
          <v:rect id="_x0000_i1026" style="width:0;height:1.5pt" o:hr="t" o:hrstd="t" o:hralign="center" fillcolor="#a0a0a0" stroked="f"/>
        </w:pict>
      </w:r>
    </w:p>
    <w:p w:rsidR="00B251B6" w:rsidP="00B251B6" w:rsidRDefault="00150D38" w14:paraId="6ADB9A93" w14:textId="28ABEB3D">
      <w:pPr>
        <w:pStyle w:val="ART"/>
      </w:pPr>
      <w:r>
        <w:t>SOLAR INTEGRATION</w:t>
      </w:r>
    </w:p>
    <w:p w:rsidR="00B20A82" w:rsidP="001A1507" w:rsidRDefault="001A1507" w14:paraId="44D6D6B9" w14:textId="11D6B2CE">
      <w:pPr>
        <w:pStyle w:val="PR1"/>
        <w:tabs>
          <w:tab w:val="num" w:pos="540"/>
        </w:tabs>
        <w:ind w:left="540" w:hanging="396"/>
      </w:pPr>
      <w:r>
        <w:t>System Components for Exemplary Buildings</w:t>
      </w:r>
    </w:p>
    <w:p w:rsidR="001A1507" w:rsidP="001A1507" w:rsidRDefault="001A1507" w14:paraId="74964C32" w14:textId="7138F7A5">
      <w:pPr>
        <w:pStyle w:val="PR2"/>
      </w:pPr>
      <w:r>
        <w:t>Design for and install Teir-1 modules, listed on the Bloomberg, NEF Tei</w:t>
      </w:r>
      <w:r w:rsidR="00754C53">
        <w:t>r</w:t>
      </w:r>
      <w:r>
        <w:t>-1 PV module list, with a 25-year warranty</w:t>
      </w:r>
      <w:r w:rsidR="00F44B6E">
        <w:t>.</w:t>
      </w:r>
    </w:p>
    <w:p w:rsidR="001A1507" w:rsidP="001A1507" w:rsidRDefault="001A1507" w14:paraId="496D570E" w14:textId="4A4AB030">
      <w:pPr>
        <w:pStyle w:val="PR2"/>
      </w:pPr>
      <w:r>
        <w:t xml:space="preserve">Design and </w:t>
      </w:r>
      <w:r w:rsidR="00F93E76">
        <w:t>install</w:t>
      </w:r>
      <w:r>
        <w:t xml:space="preserve"> a</w:t>
      </w:r>
      <w:r w:rsidR="00EC1343">
        <w:t xml:space="preserve"> minimum</w:t>
      </w:r>
      <w:r>
        <w:t xml:space="preserve"> total solar resource fraction (TSRF) </w:t>
      </w:r>
      <w:r w:rsidR="00EC1343">
        <w:t>of 90% for each roof area</w:t>
      </w:r>
      <w:r w:rsidR="00F44B6E">
        <w:t>.</w:t>
      </w:r>
    </w:p>
    <w:p w:rsidR="00EC1343" w:rsidP="001A1507" w:rsidRDefault="00EC1343" w14:paraId="292A03E7" w14:textId="2943E34A">
      <w:pPr>
        <w:pStyle w:val="PR2"/>
      </w:pPr>
      <w:r>
        <w:t>Install panels with a module efficiency minimum of 18%</w:t>
      </w:r>
      <w:r w:rsidR="00F44B6E">
        <w:t>.</w:t>
      </w:r>
    </w:p>
    <w:p w:rsidR="00EC1343" w:rsidP="001A1507" w:rsidRDefault="00EC1343" w14:paraId="2EC0FB54" w14:textId="4887055E">
      <w:pPr>
        <w:pStyle w:val="PR2"/>
      </w:pPr>
      <w:r>
        <w:t>Use string inverters that are listed in California Energy Commission Solar Equipment List</w:t>
      </w:r>
      <w:r w:rsidR="00F44B6E">
        <w:t>.</w:t>
      </w:r>
    </w:p>
    <w:p w:rsidR="00EC1343" w:rsidP="001A1507" w:rsidRDefault="00EC1343" w14:paraId="5D4AE1FE" w14:textId="7EE5CA6D">
      <w:pPr>
        <w:pStyle w:val="PR2"/>
      </w:pPr>
      <w:r>
        <w:t xml:space="preserve">For monitoring, use a standard online portal </w:t>
      </w:r>
      <w:r w:rsidR="00EB64A2">
        <w:t xml:space="preserve">available with the inverter, or an </w:t>
      </w:r>
      <w:r>
        <w:t>EGa</w:t>
      </w:r>
      <w:r w:rsidR="00EB64A2">
        <w:t>u</w:t>
      </w:r>
      <w:r>
        <w:t xml:space="preserve">ge or other utility-grade </w:t>
      </w:r>
      <w:r w:rsidR="00EB64A2">
        <w:t xml:space="preserve">add-on metering </w:t>
      </w:r>
      <w:r>
        <w:t>system</w:t>
      </w:r>
      <w:r w:rsidR="00EB64A2">
        <w:t>.</w:t>
      </w:r>
    </w:p>
    <w:p w:rsidR="000174E2" w:rsidP="001A1507" w:rsidRDefault="000174E2" w14:paraId="385AD799" w14:textId="339825A8">
      <w:pPr>
        <w:pStyle w:val="PR2"/>
      </w:pPr>
      <w:r>
        <w:t>Racking</w:t>
      </w:r>
    </w:p>
    <w:p w:rsidR="00EC1343" w:rsidP="000174E2" w:rsidRDefault="000174E2" w14:paraId="27A2F511" w14:textId="7C3CCBB4">
      <w:pPr>
        <w:pStyle w:val="PR3"/>
      </w:pPr>
      <w:r>
        <w:t xml:space="preserve">For buildings under 6 stories with no wind concerns use a ballast system, with no attachments to roof if </w:t>
      </w:r>
      <w:r w:rsidR="00F93E76">
        <w:t>possible.</w:t>
      </w:r>
    </w:p>
    <w:p w:rsidR="007B0682" w:rsidP="001C159F" w:rsidRDefault="000174E2" w14:paraId="2448C7C4" w14:textId="6ED08735">
      <w:pPr>
        <w:pStyle w:val="PR3"/>
      </w:pPr>
      <w:r>
        <w:t xml:space="preserve">For larger buildings use an anchored system, coordinating with roofing </w:t>
      </w:r>
      <w:r w:rsidR="00F93E76">
        <w:t>contractor.</w:t>
      </w:r>
    </w:p>
    <w:p w:rsidRPr="001C159F" w:rsidR="001C159F" w:rsidP="00D9329F" w:rsidRDefault="006F745A" w14:paraId="35CAAF06" w14:textId="3336FF4A">
      <w:r>
        <w:pict w14:anchorId="5BE31F5C">
          <v:rect id="_x0000_i1027" style="width:0;height:1.5pt" o:hr="t" o:hrstd="t" o:hralign="center" fillcolor="#a0a0a0" stroked="f"/>
        </w:pict>
      </w:r>
    </w:p>
    <w:p w:rsidR="00B251B6" w:rsidP="00B251B6" w:rsidRDefault="00150D38" w14:paraId="03D6654D" w14:textId="6A3BFA23">
      <w:pPr>
        <w:pStyle w:val="ART"/>
      </w:pPr>
      <w:r>
        <w:lastRenderedPageBreak/>
        <w:t>WALL ASSEMBLIES</w:t>
      </w:r>
    </w:p>
    <w:p w:rsidR="00A41BE4" w:rsidP="004B3DCB" w:rsidRDefault="00965C3C" w14:paraId="6C9E38B9" w14:textId="3B4F8242">
      <w:pPr>
        <w:pStyle w:val="PR1"/>
        <w:tabs>
          <w:tab w:val="num" w:pos="540"/>
        </w:tabs>
        <w:ind w:left="540" w:hanging="396"/>
      </w:pPr>
      <w:r>
        <w:t>Wood-Framed 2x6 Walls with Exterior Insulation</w:t>
      </w:r>
    </w:p>
    <w:p w:rsidR="00486B43" w:rsidP="00486B43" w:rsidRDefault="00486B43" w14:paraId="7444F783" w14:textId="786B0FA3">
      <w:pPr>
        <w:pStyle w:val="PR2"/>
      </w:pPr>
      <w:r>
        <w:t>For cavity insulation, use R</w:t>
      </w:r>
      <w:r w:rsidR="00544597">
        <w:t>-</w:t>
      </w:r>
      <w:r>
        <w:t xml:space="preserve">24 blown-in fiberglass </w:t>
      </w:r>
      <w:r w:rsidRPr="00E85DF3" w:rsidR="000F4559">
        <w:t xml:space="preserve">to a minimum density of 1.6 </w:t>
      </w:r>
      <w:proofErr w:type="spellStart"/>
      <w:r w:rsidRPr="00E85DF3" w:rsidR="000F4559">
        <w:t>lb</w:t>
      </w:r>
      <w:proofErr w:type="spellEnd"/>
      <w:r w:rsidRPr="00E85DF3" w:rsidR="000F4559">
        <w:t>/</w:t>
      </w:r>
      <w:proofErr w:type="spellStart"/>
      <w:r w:rsidRPr="00E85DF3" w:rsidR="000F4559">
        <w:t>cu.ft</w:t>
      </w:r>
      <w:proofErr w:type="spellEnd"/>
      <w:r w:rsidRPr="00E85DF3" w:rsidR="000F4559">
        <w:t>.</w:t>
      </w:r>
    </w:p>
    <w:p w:rsidRPr="00DF2D86" w:rsidR="00486B43" w:rsidP="00486B43" w:rsidRDefault="00486B43" w14:paraId="23235031" w14:textId="2C61B5EB">
      <w:pPr>
        <w:pStyle w:val="PR2"/>
      </w:pPr>
      <w:r>
        <w:t xml:space="preserve">Use 1.25” of continuous mineral wool </w:t>
      </w:r>
      <w:r w:rsidR="002675BF">
        <w:t>(</w:t>
      </w:r>
      <w:r w:rsidR="002675BF">
        <w:t>R-5</w:t>
      </w:r>
      <w:r w:rsidR="002675BF">
        <w:t xml:space="preserve">) </w:t>
      </w:r>
      <w:r>
        <w:t xml:space="preserve">insulated sheathing board with a minimum density of 11 </w:t>
      </w:r>
      <w:proofErr w:type="spellStart"/>
      <w:r>
        <w:t>lb</w:t>
      </w:r>
      <w:proofErr w:type="spellEnd"/>
      <w:r>
        <w:t>/</w:t>
      </w:r>
      <w:proofErr w:type="gramStart"/>
      <w:r>
        <w:t>ft</w:t>
      </w:r>
      <w:r w:rsidRPr="00486B43">
        <w:rPr>
          <w:vertAlign w:val="superscript"/>
        </w:rPr>
        <w:t>3</w:t>
      </w:r>
      <w:proofErr w:type="gramEnd"/>
    </w:p>
    <w:p w:rsidR="00DF2D86" w:rsidP="00486B43" w:rsidRDefault="00DF2D86" w14:paraId="308F567F" w14:textId="016E5A3B">
      <w:pPr>
        <w:pStyle w:val="PR2"/>
      </w:pPr>
      <w:r w:rsidRPr="00DF2D86">
        <w:t>For sheath</w:t>
      </w:r>
      <w:r>
        <w:t>ing use plywood or exterior gypsum as need</w:t>
      </w:r>
      <w:r w:rsidR="00E43B33">
        <w:t>ed</w:t>
      </w:r>
      <w:r>
        <w:t xml:space="preserve"> for struc</w:t>
      </w:r>
      <w:r w:rsidR="00842F3E">
        <w:t xml:space="preserve">tural and fire rating requirements. </w:t>
      </w:r>
    </w:p>
    <w:p w:rsidR="00842F3E" w:rsidP="00486B43" w:rsidRDefault="00842F3E" w14:paraId="3C893DB0" w14:textId="29C532D3">
      <w:pPr>
        <w:pStyle w:val="PR2"/>
      </w:pPr>
      <w:r>
        <w:t xml:space="preserve">For framing use 2x6 </w:t>
      </w:r>
      <w:r w:rsidR="004215CF">
        <w:t xml:space="preserve">intermediate </w:t>
      </w:r>
      <w:r>
        <w:t>framing</w:t>
      </w:r>
      <w:r w:rsidR="004215CF">
        <w:t>. Assume 25% framing factor and thermal conductivity of Douglas Fir wood for building thermal analysis.</w:t>
      </w:r>
    </w:p>
    <w:p w:rsidR="00842F3E" w:rsidP="00486B43" w:rsidRDefault="00842F3E" w14:paraId="687853A4" w14:textId="2C47CBC6">
      <w:pPr>
        <w:pStyle w:val="PR2"/>
      </w:pPr>
      <w:r>
        <w:t>Air and Water Barrier</w:t>
      </w:r>
    </w:p>
    <w:p w:rsidR="00842F3E" w:rsidP="00842F3E" w:rsidRDefault="00842F3E" w14:paraId="59612E4A" w14:textId="0E875EE5">
      <w:pPr>
        <w:pStyle w:val="PR3"/>
      </w:pPr>
      <w:r>
        <w:t xml:space="preserve">Option 1: Use fully adhered sheet air and water barrier. </w:t>
      </w:r>
      <w:proofErr w:type="gramStart"/>
      <w:r>
        <w:t>Sheet</w:t>
      </w:r>
      <w:proofErr w:type="gramEnd"/>
      <w:r>
        <w:t xml:space="preserve"> is vapor permeable with minimum wet cup 14 perm rating. Vertical 1x3 borate treated furring for ventilated rainscreen cavity.  </w:t>
      </w:r>
    </w:p>
    <w:p w:rsidR="00842F3E" w:rsidP="00842F3E" w:rsidRDefault="00842F3E" w14:paraId="7A502246" w14:textId="6F65C948">
      <w:pPr>
        <w:pStyle w:val="PR3"/>
      </w:pPr>
      <w:r>
        <w:t xml:space="preserve">Option 2: Sealed sheathing air barrier with </w:t>
      </w:r>
      <w:proofErr w:type="gramStart"/>
      <w:r>
        <w:t>mechanically-attached</w:t>
      </w:r>
      <w:proofErr w:type="gramEnd"/>
      <w:r>
        <w:t xml:space="preserve"> sheet water barrier. </w:t>
      </w:r>
      <w:proofErr w:type="gramStart"/>
      <w:r>
        <w:t>Sheet</w:t>
      </w:r>
      <w:proofErr w:type="gramEnd"/>
      <w:r>
        <w:t xml:space="preserve"> is vapor</w:t>
      </w:r>
      <w:r w:rsidRPr="00842F3E">
        <w:t xml:space="preserve"> </w:t>
      </w:r>
      <w:r>
        <w:t xml:space="preserve">permeable with minimum wet cup 28 perm rating. Vertical 1x3 borate treated furring for ventilated rainscreen cavity.  </w:t>
      </w:r>
    </w:p>
    <w:p w:rsidRPr="00DF2D86" w:rsidR="00842F3E" w:rsidP="00842F3E" w:rsidRDefault="00842F3E" w14:paraId="2EE7B193" w14:textId="725D589A">
      <w:pPr>
        <w:pStyle w:val="PR2"/>
      </w:pPr>
      <w:r>
        <w:t>For vapor control use a Class III vapor retarder, such as latex paint</w:t>
      </w:r>
      <w:r w:rsidR="00E85DF3">
        <w:t>.</w:t>
      </w:r>
    </w:p>
    <w:p w:rsidR="00371D1B" w:rsidP="00371D1B" w:rsidRDefault="00371D1B" w14:paraId="328868A7" w14:textId="021CF573">
      <w:pPr>
        <w:pStyle w:val="PR1"/>
        <w:tabs>
          <w:tab w:val="num" w:pos="540"/>
        </w:tabs>
        <w:ind w:left="540" w:hanging="396"/>
      </w:pPr>
      <w:r>
        <w:t>Wood-Framed 2x8 Walls with Cavity Insulation</w:t>
      </w:r>
    </w:p>
    <w:p w:rsidR="00E85DF3" w:rsidP="00E85DF3" w:rsidRDefault="00544597" w14:paraId="2C00E6AA" w14:textId="43D6A8BE">
      <w:pPr>
        <w:pStyle w:val="PR2"/>
      </w:pPr>
      <w:r>
        <w:t>For cavity insulation, u</w:t>
      </w:r>
      <w:r w:rsidR="00E85DF3">
        <w:t xml:space="preserve">se </w:t>
      </w:r>
      <w:r w:rsidRPr="00E85DF3" w:rsidR="00E85DF3">
        <w:t xml:space="preserve">R-31 blown-in </w:t>
      </w:r>
      <w:r>
        <w:t>f</w:t>
      </w:r>
      <w:r w:rsidRPr="00E85DF3" w:rsidR="00E85DF3">
        <w:t xml:space="preserve">iberglass to a minimum density of 1.6 </w:t>
      </w:r>
      <w:proofErr w:type="spellStart"/>
      <w:r w:rsidRPr="00E85DF3" w:rsidR="00E85DF3">
        <w:t>lb</w:t>
      </w:r>
      <w:proofErr w:type="spellEnd"/>
      <w:r w:rsidRPr="00E85DF3" w:rsidR="00E85DF3">
        <w:t>/</w:t>
      </w:r>
      <w:proofErr w:type="spellStart"/>
      <w:r w:rsidRPr="00E85DF3" w:rsidR="00E85DF3">
        <w:t>cu.ft</w:t>
      </w:r>
      <w:proofErr w:type="spellEnd"/>
      <w:r w:rsidRPr="00E85DF3" w:rsidR="00E85DF3">
        <w:t>.</w:t>
      </w:r>
    </w:p>
    <w:p w:rsidR="00E85DF3" w:rsidP="00E85DF3" w:rsidRDefault="00626B7A" w14:paraId="17E2731B" w14:textId="7E2206B8">
      <w:pPr>
        <w:pStyle w:val="PR2"/>
      </w:pPr>
      <w:r>
        <w:t>For sh</w:t>
      </w:r>
      <w:r w:rsidRPr="00E85DF3" w:rsidR="00E85DF3">
        <w:t xml:space="preserve">eathing </w:t>
      </w:r>
      <w:r>
        <w:t>use</w:t>
      </w:r>
      <w:r w:rsidRPr="00E85DF3" w:rsidR="00E85DF3">
        <w:t xml:space="preserve"> </w:t>
      </w:r>
      <w:r>
        <w:t>p</w:t>
      </w:r>
      <w:r w:rsidRPr="00E85DF3" w:rsidR="00E85DF3">
        <w:t xml:space="preserve">lywood or </w:t>
      </w:r>
      <w:r>
        <w:t>e</w:t>
      </w:r>
      <w:r w:rsidRPr="00E85DF3" w:rsidR="00E85DF3">
        <w:t xml:space="preserve">xterior </w:t>
      </w:r>
      <w:r>
        <w:t>g</w:t>
      </w:r>
      <w:r w:rsidRPr="00E85DF3" w:rsidR="00E85DF3">
        <w:t>ypsum as needed for structural and fire rating. OSB sheathing</w:t>
      </w:r>
      <w:r>
        <w:t xml:space="preserve"> should</w:t>
      </w:r>
      <w:r w:rsidRPr="00E85DF3" w:rsidR="00E85DF3">
        <w:t xml:space="preserve"> be avoided.</w:t>
      </w:r>
    </w:p>
    <w:p w:rsidR="00865825" w:rsidP="00E85DF3" w:rsidRDefault="00865825" w14:paraId="651F7456" w14:textId="2BBD5019">
      <w:pPr>
        <w:pStyle w:val="PR2"/>
      </w:pPr>
      <w:r>
        <w:t>F</w:t>
      </w:r>
      <w:r w:rsidR="00626B7A">
        <w:t>or f</w:t>
      </w:r>
      <w:r>
        <w:t xml:space="preserve">raming </w:t>
      </w:r>
      <w:r w:rsidR="00626B7A">
        <w:t>use</w:t>
      </w:r>
      <w:r>
        <w:t xml:space="preserve"> 2x8 advanced framing at 24” o.c. where structurally feasible</w:t>
      </w:r>
      <w:r w:rsidR="004215CF">
        <w:t xml:space="preserve"> and </w:t>
      </w:r>
      <w:r w:rsidR="00FE2A91">
        <w:t xml:space="preserve">compatible with </w:t>
      </w:r>
      <w:r w:rsidR="004215CF">
        <w:t>cladding system</w:t>
      </w:r>
      <w:r w:rsidR="00FE2A91">
        <w:t>s</w:t>
      </w:r>
      <w:r w:rsidR="004215CF">
        <w:t>.</w:t>
      </w:r>
      <w:r>
        <w:t xml:space="preserve">  </w:t>
      </w:r>
      <w:r w:rsidR="00BB5333">
        <w:t>Assume 20% framing factor</w:t>
      </w:r>
      <w:r w:rsidR="00F62488">
        <w:t xml:space="preserve"> and thermal conductivity of Douglas Fir wood</w:t>
      </w:r>
      <w:r w:rsidR="00BB5333">
        <w:t xml:space="preserve"> for building </w:t>
      </w:r>
      <w:r w:rsidR="00F62488">
        <w:t>th</w:t>
      </w:r>
      <w:r w:rsidR="004215CF">
        <w:t>ermal</w:t>
      </w:r>
      <w:r w:rsidR="00BB5333">
        <w:t xml:space="preserve"> analysis</w:t>
      </w:r>
      <w:r>
        <w:t>.</w:t>
      </w:r>
    </w:p>
    <w:p w:rsidR="00626B7A" w:rsidP="00865825" w:rsidRDefault="00865825" w14:paraId="5FB79958" w14:textId="77777777">
      <w:pPr>
        <w:pStyle w:val="PR2"/>
      </w:pPr>
      <w:r>
        <w:t xml:space="preserve">Air and Water Barrier </w:t>
      </w:r>
    </w:p>
    <w:p w:rsidR="00865825" w:rsidP="00626B7A" w:rsidRDefault="00865825" w14:paraId="6A962596" w14:textId="4C04D016">
      <w:pPr>
        <w:pStyle w:val="PR3"/>
      </w:pPr>
      <w:r>
        <w:t xml:space="preserve">Option </w:t>
      </w:r>
      <w:r w:rsidR="00626B7A">
        <w:t xml:space="preserve">1: </w:t>
      </w:r>
      <w:r>
        <w:t xml:space="preserve">Fully adhered sheet air and water barrier. </w:t>
      </w:r>
      <w:proofErr w:type="gramStart"/>
      <w:r>
        <w:t>Sheet</w:t>
      </w:r>
      <w:proofErr w:type="gramEnd"/>
      <w:r>
        <w:t xml:space="preserve"> is vapor permeable with minimum wet cup 14 perm rating. Vertical 1x3 borate-treated furring for ventilated rainscreen cavity. </w:t>
      </w:r>
    </w:p>
    <w:p w:rsidR="00865825" w:rsidP="00626B7A" w:rsidRDefault="00626B7A" w14:paraId="1DAB946D" w14:textId="47596858">
      <w:pPr>
        <w:pStyle w:val="PR3"/>
      </w:pPr>
      <w:r>
        <w:t>Option 2:</w:t>
      </w:r>
      <w:r w:rsidR="00865825">
        <w:t xml:space="preserve"> Sealed sheathing air barrier with </w:t>
      </w:r>
      <w:proofErr w:type="gramStart"/>
      <w:r w:rsidR="00865825">
        <w:t>mechanically-attached</w:t>
      </w:r>
      <w:proofErr w:type="gramEnd"/>
      <w:r w:rsidR="00865825">
        <w:t xml:space="preserve"> sheet water barrier. </w:t>
      </w:r>
      <w:proofErr w:type="gramStart"/>
      <w:r w:rsidR="00865825">
        <w:t>Sheet</w:t>
      </w:r>
      <w:proofErr w:type="gramEnd"/>
      <w:r w:rsidR="00865825">
        <w:t xml:space="preserve"> is vapor permeable with minimum wet cup 28 perm rating. Vertical 1x3 borate treated furring for ventilated rainscreen cavity.   </w:t>
      </w:r>
    </w:p>
    <w:p w:rsidR="00865825" w:rsidP="00865825" w:rsidRDefault="00626B7A" w14:paraId="14AD056F" w14:textId="1D145971">
      <w:pPr>
        <w:pStyle w:val="PR2"/>
      </w:pPr>
      <w:r>
        <w:t>For v</w:t>
      </w:r>
      <w:r w:rsidRPr="00865825" w:rsidR="00865825">
        <w:t xml:space="preserve">apor </w:t>
      </w:r>
      <w:r w:rsidR="00D32F18">
        <w:t>c</w:t>
      </w:r>
      <w:r w:rsidRPr="00865825" w:rsidR="00865825">
        <w:t xml:space="preserve">ontrol </w:t>
      </w:r>
      <w:r>
        <w:t>use a c</w:t>
      </w:r>
      <w:r w:rsidR="00806AE4">
        <w:t>lass</w:t>
      </w:r>
      <w:r w:rsidRPr="00865825" w:rsidR="00865825">
        <w:t xml:space="preserve"> II polyamide sheet smart vapor retarder.</w:t>
      </w:r>
    </w:p>
    <w:p w:rsidR="00371D1B" w:rsidP="00371D1B" w:rsidRDefault="00371D1B" w14:paraId="3623A06A" w14:textId="55C5A023">
      <w:pPr>
        <w:pStyle w:val="PR1"/>
        <w:tabs>
          <w:tab w:val="num" w:pos="540"/>
        </w:tabs>
        <w:ind w:left="540" w:hanging="396"/>
      </w:pPr>
      <w:r>
        <w:t>Steel-Framed 2x6 Walls with Exterior Insulation</w:t>
      </w:r>
    </w:p>
    <w:p w:rsidR="000F4E34" w:rsidP="000F4E34" w:rsidRDefault="00626B7A" w14:paraId="199D4093" w14:textId="52B3A61A">
      <w:pPr>
        <w:pStyle w:val="PR2"/>
      </w:pPr>
      <w:r>
        <w:t>Use</w:t>
      </w:r>
      <w:r w:rsidRPr="000F4E34" w:rsidR="000F4E34">
        <w:t xml:space="preserve"> R</w:t>
      </w:r>
      <w:r w:rsidR="00D32F18">
        <w:t>-</w:t>
      </w:r>
      <w:r w:rsidRPr="000F4E34" w:rsidR="000F4E34">
        <w:t>21 batt insulation installed to Grade 1.</w:t>
      </w:r>
    </w:p>
    <w:p w:rsidR="00806AE4" w:rsidP="000F4E34" w:rsidRDefault="000F4E34" w14:paraId="13939D21" w14:textId="77777777">
      <w:pPr>
        <w:pStyle w:val="PR2"/>
      </w:pPr>
      <w:r>
        <w:t xml:space="preserve">Continuous Insulation </w:t>
      </w:r>
    </w:p>
    <w:p w:rsidR="000F4E34" w:rsidP="00806AE4" w:rsidRDefault="000F4E34" w14:paraId="05323B99" w14:textId="638D38E8">
      <w:pPr>
        <w:pStyle w:val="PR3"/>
      </w:pPr>
      <w:r>
        <w:t xml:space="preserve">Option </w:t>
      </w:r>
      <w:r w:rsidR="00806AE4">
        <w:t>1:</w:t>
      </w:r>
      <w:r>
        <w:t xml:space="preserve"> 3” (R-12) mineral wool insulation combined with fiberglass clips or similar thermally broken clips for cladding attachment. </w:t>
      </w:r>
    </w:p>
    <w:p w:rsidR="000F4E34" w:rsidP="00806AE4" w:rsidRDefault="000F4E34" w14:paraId="7013DF0D" w14:textId="5E7DE76D">
      <w:pPr>
        <w:pStyle w:val="PR3"/>
      </w:pPr>
      <w:r>
        <w:t>Option 2</w:t>
      </w:r>
      <w:r w:rsidR="00806AE4">
        <w:t>:</w:t>
      </w:r>
      <w:r>
        <w:t xml:space="preserve"> 3” (R-12) mineral wool insulated sheathing board with minimum density of 14 </w:t>
      </w:r>
      <w:proofErr w:type="spellStart"/>
      <w:r>
        <w:t>lb</w:t>
      </w:r>
      <w:proofErr w:type="spellEnd"/>
      <w:r>
        <w:t xml:space="preserve">/ft3. </w:t>
      </w:r>
    </w:p>
    <w:p w:rsidR="000F4E34" w:rsidP="000F4E34" w:rsidRDefault="000F4E34" w14:paraId="4560DA0D" w14:textId="009D58A8">
      <w:pPr>
        <w:pStyle w:val="PR2"/>
      </w:pPr>
      <w:r>
        <w:t>F</w:t>
      </w:r>
      <w:r w:rsidR="005D60CE">
        <w:t>or f</w:t>
      </w:r>
      <w:r>
        <w:t xml:space="preserve">raming </w:t>
      </w:r>
      <w:r w:rsidR="005D60CE">
        <w:t xml:space="preserve">use </w:t>
      </w:r>
      <w:r>
        <w:t xml:space="preserve">6” steel stud, minimum 20 gauge (33 mil) or greater as required for structure. </w:t>
      </w:r>
    </w:p>
    <w:p w:rsidR="005D60CE" w:rsidP="000F4E34" w:rsidRDefault="000F4E34" w14:paraId="637CB238" w14:textId="77777777">
      <w:pPr>
        <w:pStyle w:val="PR2"/>
      </w:pPr>
      <w:r>
        <w:t xml:space="preserve">Air and Water Barrier </w:t>
      </w:r>
    </w:p>
    <w:p w:rsidR="000F4E34" w:rsidP="005D60CE" w:rsidRDefault="000F4E34" w14:paraId="43099D80" w14:textId="5F5F6D4E">
      <w:pPr>
        <w:pStyle w:val="PR3"/>
      </w:pPr>
      <w:r>
        <w:t>Option 1</w:t>
      </w:r>
      <w:r w:rsidR="005D60CE">
        <w:t>:</w:t>
      </w:r>
      <w:r w:rsidR="00A53C06">
        <w:t xml:space="preserve"> </w:t>
      </w:r>
      <w:r>
        <w:t xml:space="preserve">Fully adhered sheet air and water resistive barrier. Vapor permeable with minimum wet cup 14 perm rating. </w:t>
      </w:r>
      <w:r w:rsidR="00E43B33">
        <w:t>20-gauge</w:t>
      </w:r>
      <w:r>
        <w:t xml:space="preserve"> G90 galvanized steel Z-furring for ventilated rainscreen cavity.  </w:t>
      </w:r>
    </w:p>
    <w:p w:rsidR="000F4E34" w:rsidP="005D60CE" w:rsidRDefault="005D60CE" w14:paraId="1522CB20" w14:textId="3FEEFF58">
      <w:pPr>
        <w:pStyle w:val="PR3"/>
      </w:pPr>
      <w:r>
        <w:t>Option</w:t>
      </w:r>
      <w:r w:rsidR="000F4E34">
        <w:t xml:space="preserve"> 2</w:t>
      </w:r>
      <w:r>
        <w:t>:</w:t>
      </w:r>
      <w:r w:rsidR="000F4E34">
        <w:t xml:space="preserve"> Sealed sheathing air barrier with </w:t>
      </w:r>
      <w:proofErr w:type="gramStart"/>
      <w:r w:rsidR="000F4E34">
        <w:t>mechanically-attached</w:t>
      </w:r>
      <w:proofErr w:type="gramEnd"/>
      <w:r w:rsidR="000F4E34">
        <w:t xml:space="preserve"> sheet water barrier. </w:t>
      </w:r>
      <w:proofErr w:type="gramStart"/>
      <w:r w:rsidR="000F4E34">
        <w:t>Sheet</w:t>
      </w:r>
      <w:proofErr w:type="gramEnd"/>
      <w:r w:rsidR="000F4E34">
        <w:t xml:space="preserve"> is vapor </w:t>
      </w:r>
      <w:r>
        <w:t xml:space="preserve">permeable with minimum wet cup 28 perm rating. </w:t>
      </w:r>
      <w:r w:rsidR="00E43B33">
        <w:t>20-gauge</w:t>
      </w:r>
      <w:r w:rsidR="000F4E34">
        <w:t xml:space="preserve"> steel Z-furring for ventilated rainscreen</w:t>
      </w:r>
      <w:r>
        <w:t xml:space="preserve"> </w:t>
      </w:r>
      <w:r w:rsidR="000F4E34">
        <w:t xml:space="preserve">cavity. </w:t>
      </w:r>
    </w:p>
    <w:p w:rsidR="000F4E34" w:rsidP="000F4E34" w:rsidRDefault="005D60CE" w14:paraId="7CEFB8E1" w14:textId="30B8046A">
      <w:pPr>
        <w:pStyle w:val="PR2"/>
      </w:pPr>
      <w:r>
        <w:t>For v</w:t>
      </w:r>
      <w:r w:rsidR="000F4E34">
        <w:t xml:space="preserve">apor </w:t>
      </w:r>
      <w:r w:rsidR="00D32F18">
        <w:t>c</w:t>
      </w:r>
      <w:r w:rsidR="000F4E34">
        <w:t xml:space="preserve">ontrol </w:t>
      </w:r>
      <w:r>
        <w:t>use a class</w:t>
      </w:r>
      <w:r w:rsidR="000F4E34">
        <w:t xml:space="preserve"> III vapor retarder such as latex paint.</w:t>
      </w:r>
    </w:p>
    <w:p w:rsidR="00371D1B" w:rsidP="00371D1B" w:rsidRDefault="00371D1B" w14:paraId="38406900" w14:textId="6B68D838">
      <w:pPr>
        <w:pStyle w:val="PR1"/>
        <w:tabs>
          <w:tab w:val="num" w:pos="540"/>
        </w:tabs>
        <w:ind w:left="540" w:hanging="396"/>
      </w:pPr>
      <w:r>
        <w:t>Cast-in-Place Concrete Walls with Exterior Insulation</w:t>
      </w:r>
    </w:p>
    <w:p w:rsidR="002E7BA3" w:rsidP="002E7BA3" w:rsidRDefault="002E7BA3" w14:paraId="223677BE" w14:textId="77777777">
      <w:pPr>
        <w:pStyle w:val="PR2"/>
      </w:pPr>
      <w:r>
        <w:t xml:space="preserve">Use 6” minimum normal weight cast-in-place concrete. </w:t>
      </w:r>
    </w:p>
    <w:p w:rsidR="00626B7A" w:rsidP="00626B7A" w:rsidRDefault="005D60CE" w14:paraId="2937DD58" w14:textId="0BE860C9">
      <w:pPr>
        <w:pStyle w:val="PR2"/>
      </w:pPr>
      <w:r>
        <w:t>For e</w:t>
      </w:r>
      <w:r w:rsidR="00626B7A">
        <w:t xml:space="preserve">xterior </w:t>
      </w:r>
      <w:r>
        <w:t>c</w:t>
      </w:r>
      <w:r w:rsidR="00626B7A">
        <w:t xml:space="preserve">ontinuous </w:t>
      </w:r>
      <w:r>
        <w:t>i</w:t>
      </w:r>
      <w:r w:rsidR="00626B7A">
        <w:t xml:space="preserve">nsulation </w:t>
      </w:r>
      <w:r>
        <w:t xml:space="preserve">use </w:t>
      </w:r>
      <w:r w:rsidR="00626B7A">
        <w:t xml:space="preserve">3” (R-12) mineral wool insulation combined with fiberglass clips or similar thermally broken clips for cladding attachment.  </w:t>
      </w:r>
    </w:p>
    <w:p w:rsidR="00626B7A" w:rsidP="00626B7A" w:rsidRDefault="005D60CE" w14:paraId="5F334A44" w14:textId="06580A7E">
      <w:pPr>
        <w:pStyle w:val="PR2"/>
      </w:pPr>
      <w:r>
        <w:t xml:space="preserve">For </w:t>
      </w:r>
      <w:r w:rsidR="00D32F18">
        <w:t>i</w:t>
      </w:r>
      <w:r w:rsidR="00626B7A">
        <w:t xml:space="preserve">nterior </w:t>
      </w:r>
      <w:r w:rsidR="00D32F18">
        <w:t>c</w:t>
      </w:r>
      <w:r w:rsidR="00626B7A">
        <w:t xml:space="preserve">ontinuous </w:t>
      </w:r>
      <w:r w:rsidR="00D32F18">
        <w:t>i</w:t>
      </w:r>
      <w:r w:rsidR="00626B7A">
        <w:t xml:space="preserve">nsulation </w:t>
      </w:r>
      <w:r>
        <w:t xml:space="preserve">use </w:t>
      </w:r>
      <w:r w:rsidR="00626B7A">
        <w:t xml:space="preserve">1.5” (R-9.8) non-halogenated (NH) </w:t>
      </w:r>
      <w:r w:rsidR="00BA2546">
        <w:t>polyiso insulation board with facer</w:t>
      </w:r>
      <w:r w:rsidR="003C00FF">
        <w:t>,</w:t>
      </w:r>
      <w:r w:rsidR="00BA2546">
        <w:t xml:space="preserve"> joints and seams taped or sealed.</w:t>
      </w:r>
      <w:r w:rsidR="00626B7A">
        <w:t xml:space="preserve"> </w:t>
      </w:r>
    </w:p>
    <w:p w:rsidR="008346D9" w:rsidP="008346D9" w:rsidRDefault="005D60CE" w14:paraId="585A3A85" w14:textId="4763F51F">
      <w:pPr>
        <w:pStyle w:val="PR2"/>
      </w:pPr>
      <w:r>
        <w:t>For i</w:t>
      </w:r>
      <w:r w:rsidR="00626B7A">
        <w:t xml:space="preserve">nterior </w:t>
      </w:r>
      <w:r w:rsidR="000829F8">
        <w:t>f</w:t>
      </w:r>
      <w:r w:rsidR="00626B7A">
        <w:t>urr</w:t>
      </w:r>
      <w:r w:rsidR="000829F8">
        <w:t>ing</w:t>
      </w:r>
      <w:r w:rsidR="00626B7A">
        <w:t xml:space="preserve"> </w:t>
      </w:r>
      <w:r w:rsidR="000829F8">
        <w:t>w</w:t>
      </w:r>
      <w:r w:rsidR="00626B7A">
        <w:t>all</w:t>
      </w:r>
      <w:r>
        <w:t xml:space="preserve"> use</w:t>
      </w:r>
      <w:r w:rsidR="00626B7A">
        <w:t xml:space="preserve"> 1.5” interior furring at 16” o.c. with a gypsum wall board thermal barrier required</w:t>
      </w:r>
      <w:r w:rsidR="008346D9">
        <w:t>. No cavity insulation</w:t>
      </w:r>
      <w:r w:rsidR="00A53C06">
        <w:t xml:space="preserve"> is</w:t>
      </w:r>
      <w:r w:rsidR="008346D9">
        <w:t xml:space="preserve"> required</w:t>
      </w:r>
      <w:r w:rsidR="00A53C06">
        <w:t>.</w:t>
      </w:r>
    </w:p>
    <w:p w:rsidR="00626B7A" w:rsidRDefault="00BB0828" w14:paraId="4AD7D74F" w14:textId="7463EA6D">
      <w:pPr>
        <w:pStyle w:val="PR2"/>
      </w:pPr>
      <w:r>
        <w:lastRenderedPageBreak/>
        <w:t xml:space="preserve">For </w:t>
      </w:r>
      <w:r w:rsidR="00775A9A">
        <w:t>a</w:t>
      </w:r>
      <w:r w:rsidR="00626B7A">
        <w:t xml:space="preserve">ir and </w:t>
      </w:r>
      <w:r w:rsidR="00775A9A">
        <w:t>w</w:t>
      </w:r>
      <w:r w:rsidR="00626B7A">
        <w:t xml:space="preserve">ater </w:t>
      </w:r>
      <w:r w:rsidR="00775A9A">
        <w:t>c</w:t>
      </w:r>
      <w:r w:rsidR="00626B7A">
        <w:t>ontrol</w:t>
      </w:r>
      <w:r>
        <w:t xml:space="preserve"> use</w:t>
      </w:r>
      <w:r w:rsidR="00626B7A">
        <w:t xml:space="preserve"> </w:t>
      </w:r>
      <w:r w:rsidR="00775A9A">
        <w:t>f</w:t>
      </w:r>
      <w:r w:rsidR="00626B7A">
        <w:t xml:space="preserve">ully adhered sheet water resistive barrier, vapor permeable with minimum 14 wet cup perm rating. </w:t>
      </w:r>
      <w:proofErr w:type="gramStart"/>
      <w:r w:rsidR="00626B7A">
        <w:t>20 gauge</w:t>
      </w:r>
      <w:proofErr w:type="gramEnd"/>
      <w:r w:rsidR="00626B7A">
        <w:t xml:space="preserve"> steel Z-furring for ventilated rainscreen. Concrete </w:t>
      </w:r>
      <w:r w:rsidR="00C11E6A">
        <w:t xml:space="preserve">acts </w:t>
      </w:r>
      <w:r w:rsidR="00626B7A">
        <w:t xml:space="preserve">as the air barrier. </w:t>
      </w:r>
    </w:p>
    <w:p w:rsidR="00626B7A" w:rsidP="00626B7A" w:rsidRDefault="00BB0828" w14:paraId="303BC4A5" w14:textId="077BB521">
      <w:pPr>
        <w:pStyle w:val="PR2"/>
      </w:pPr>
      <w:r>
        <w:t xml:space="preserve">No </w:t>
      </w:r>
      <w:r w:rsidR="002E7BA3">
        <w:t>v</w:t>
      </w:r>
      <w:r w:rsidR="00626B7A">
        <w:t xml:space="preserve">apor </w:t>
      </w:r>
      <w:r w:rsidR="002E7BA3">
        <w:t>c</w:t>
      </w:r>
      <w:r w:rsidR="00626B7A">
        <w:t>ontrol required.</w:t>
      </w:r>
    </w:p>
    <w:p w:rsidR="00371D1B" w:rsidP="00371D1B" w:rsidRDefault="00371D1B" w14:paraId="688528C0" w14:textId="5AD83934">
      <w:pPr>
        <w:pStyle w:val="PR1"/>
        <w:tabs>
          <w:tab w:val="num" w:pos="540"/>
        </w:tabs>
        <w:ind w:left="540" w:hanging="396"/>
      </w:pPr>
      <w:r>
        <w:t>Cast-in-Place Concrete Walls with Interior Insulation</w:t>
      </w:r>
    </w:p>
    <w:p w:rsidR="00775A9A" w:rsidP="00775A9A" w:rsidRDefault="00775A9A" w14:paraId="1850D42C" w14:textId="77777777">
      <w:pPr>
        <w:pStyle w:val="PR2"/>
      </w:pPr>
      <w:r>
        <w:t xml:space="preserve">Use 6” minimum normal weight cast-in-place concrete. </w:t>
      </w:r>
    </w:p>
    <w:p w:rsidR="00626B7A" w:rsidP="00626B7A" w:rsidRDefault="00BB0828" w14:paraId="35F07586" w14:textId="00D63A48">
      <w:pPr>
        <w:pStyle w:val="PR2"/>
      </w:pPr>
      <w:r>
        <w:t>For i</w:t>
      </w:r>
      <w:r w:rsidR="00626B7A">
        <w:t xml:space="preserve">nterior </w:t>
      </w:r>
      <w:r w:rsidR="00775A9A">
        <w:t>c</w:t>
      </w:r>
      <w:r w:rsidR="00626B7A">
        <w:t xml:space="preserve">ontinuous </w:t>
      </w:r>
      <w:r w:rsidR="00775A9A">
        <w:t>i</w:t>
      </w:r>
      <w:r w:rsidR="00626B7A">
        <w:t xml:space="preserve">nsulation </w:t>
      </w:r>
      <w:r>
        <w:t>use 3</w:t>
      </w:r>
      <w:r w:rsidR="00626B7A">
        <w:t xml:space="preserve">” (R-19.7) non-halogenated (NH) </w:t>
      </w:r>
      <w:r w:rsidR="00BA2546">
        <w:t>polyiso insulation board with facer</w:t>
      </w:r>
      <w:r w:rsidR="003C00FF">
        <w:t>,</w:t>
      </w:r>
      <w:r w:rsidR="00BA2546">
        <w:t xml:space="preserve"> </w:t>
      </w:r>
      <w:r w:rsidR="00626B7A">
        <w:t xml:space="preserve">joints and seams taped or sealed. </w:t>
      </w:r>
    </w:p>
    <w:p w:rsidR="00B810DE" w:rsidP="00B810DE" w:rsidRDefault="00BB0828" w14:paraId="144AF619" w14:textId="567F8C3A">
      <w:pPr>
        <w:pStyle w:val="PR2"/>
      </w:pPr>
      <w:r>
        <w:t xml:space="preserve">For </w:t>
      </w:r>
      <w:r w:rsidR="00C54BF1">
        <w:t>i</w:t>
      </w:r>
      <w:r w:rsidR="00626B7A">
        <w:t xml:space="preserve">nterior </w:t>
      </w:r>
      <w:r w:rsidR="00C54BF1">
        <w:t>f</w:t>
      </w:r>
      <w:r w:rsidR="00626B7A">
        <w:t xml:space="preserve">urred </w:t>
      </w:r>
      <w:r w:rsidR="00C54BF1">
        <w:t>w</w:t>
      </w:r>
      <w:r w:rsidR="00626B7A">
        <w:t>all</w:t>
      </w:r>
      <w:r>
        <w:t xml:space="preserve"> use</w:t>
      </w:r>
      <w:r w:rsidR="00626B7A">
        <w:t xml:space="preserve"> 1.5” interior furring at 24” o.c. with a gypsum wall board thermal barrier required. </w:t>
      </w:r>
      <w:r w:rsidR="00B810DE">
        <w:t>No cavity insulation required.</w:t>
      </w:r>
    </w:p>
    <w:p w:rsidR="00C11E6A" w:rsidP="00C11E6A" w:rsidRDefault="00186049" w14:paraId="79AAAC78" w14:textId="3BE2D4CE">
      <w:pPr>
        <w:pStyle w:val="PR2"/>
      </w:pPr>
      <w:r>
        <w:t xml:space="preserve">For </w:t>
      </w:r>
      <w:r w:rsidR="00C11E6A">
        <w:t xml:space="preserve">air and </w:t>
      </w:r>
      <w:r w:rsidR="00B810DE">
        <w:t>w</w:t>
      </w:r>
      <w:r w:rsidR="00626B7A">
        <w:t xml:space="preserve">ater </w:t>
      </w:r>
      <w:r w:rsidR="002B7F5E">
        <w:t>c</w:t>
      </w:r>
      <w:r w:rsidR="00626B7A">
        <w:t xml:space="preserve">ontrol </w:t>
      </w:r>
      <w:r>
        <w:t>use</w:t>
      </w:r>
      <w:r w:rsidR="00626B7A">
        <w:t xml:space="preserve"> </w:t>
      </w:r>
      <w:r w:rsidR="00B810DE">
        <w:t>s</w:t>
      </w:r>
      <w:r w:rsidR="00626B7A">
        <w:t xml:space="preserve">ilicone elastomeric paint, if exposed to weather. Below-grade waterproofing and drain mat if exposed to earth. </w:t>
      </w:r>
      <w:r w:rsidR="00C11E6A">
        <w:t xml:space="preserve">Concrete acts as the air barrier. </w:t>
      </w:r>
    </w:p>
    <w:p w:rsidR="00626B7A" w:rsidP="00EF63C1" w:rsidRDefault="00186049" w14:paraId="34175742" w14:textId="3FD8ADB4">
      <w:pPr>
        <w:pStyle w:val="PR2"/>
      </w:pPr>
      <w:r>
        <w:t xml:space="preserve">No </w:t>
      </w:r>
      <w:r w:rsidR="00C11E6A">
        <w:t>v</w:t>
      </w:r>
      <w:r w:rsidR="00626B7A">
        <w:t xml:space="preserve">apor </w:t>
      </w:r>
      <w:r w:rsidR="00C11E6A">
        <w:t>c</w:t>
      </w:r>
      <w:r w:rsidR="00626B7A">
        <w:t xml:space="preserve">ontrol required. </w:t>
      </w:r>
    </w:p>
    <w:p w:rsidRPr="006D54AE" w:rsidR="00B251B6" w:rsidP="00014F1E" w:rsidRDefault="00B251B6" w14:paraId="3862024D" w14:textId="0F47C20F">
      <w:pPr>
        <w:pStyle w:val="PR3"/>
        <w:numPr>
          <w:ilvl w:val="0"/>
          <w:numId w:val="0"/>
        </w:numPr>
      </w:pPr>
    </w:p>
    <w:p w:rsidR="00970A15" w:rsidRDefault="006F745A" w14:paraId="030F8157" w14:textId="5E1A3E2F">
      <w:r>
        <w:pict w14:anchorId="63B2D174">
          <v:rect id="_x0000_i1028" style="width:0;height:1.5pt" o:hr="t" o:hrstd="t" o:hralign="center" fillcolor="#a0a0a0" stroked="f"/>
        </w:pict>
      </w:r>
    </w:p>
    <w:p w:rsidR="00C11E6A" w:rsidRDefault="00C11E6A" w14:paraId="4F52C7BF" w14:textId="1BED3898">
      <w:pPr>
        <w:rPr>
          <w:rFonts w:cs="Arial"/>
          <w:b/>
        </w:rPr>
      </w:pPr>
    </w:p>
    <w:p w:rsidRPr="00786514" w:rsidR="00B251B6" w:rsidP="00B251B6" w:rsidRDefault="00B251B6" w14:paraId="26523547" w14:textId="768C9B98">
      <w:pPr>
        <w:pStyle w:val="ART"/>
      </w:pPr>
      <w:r w:rsidRPr="00786514">
        <w:t>D</w:t>
      </w:r>
      <w:r w:rsidRPr="00786514" w:rsidR="00150D38">
        <w:t xml:space="preserve">OMESTIC HOT WATER &amp; WATER MANAGAMENT </w:t>
      </w:r>
    </w:p>
    <w:p w:rsidR="00014F1E" w:rsidP="00014F1E" w:rsidRDefault="007D0738" w14:paraId="3AD2AAC7" w14:textId="5C648AAC">
      <w:pPr>
        <w:pStyle w:val="PR1"/>
        <w:tabs>
          <w:tab w:val="num" w:pos="540"/>
        </w:tabs>
        <w:ind w:left="540" w:hanging="396"/>
      </w:pPr>
      <w:r>
        <w:t>Water Heating Plant</w:t>
      </w:r>
    </w:p>
    <w:p w:rsidR="007D0738" w:rsidP="007D0738" w:rsidRDefault="007D0738" w14:paraId="1828E23F" w14:textId="085625B6">
      <w:pPr>
        <w:pStyle w:val="PR2"/>
      </w:pPr>
      <w:r>
        <w:t xml:space="preserve">Use central air-source heat pump technology as the primary water heating </w:t>
      </w:r>
      <w:r w:rsidR="00E43B33">
        <w:t>equipment.</w:t>
      </w:r>
    </w:p>
    <w:p w:rsidR="007D0738" w:rsidP="007D0738" w:rsidRDefault="007D0738" w14:paraId="047AE42E" w14:textId="6F969FB2">
      <w:pPr>
        <w:pStyle w:val="PR2"/>
      </w:pPr>
      <w:r>
        <w:t>Design domestic hot water heating equipment/system to meet the requirements of the most current version of NEEA’s commercial/multifamily Advance</w:t>
      </w:r>
      <w:r w:rsidR="000252A6">
        <w:t>d</w:t>
      </w:r>
      <w:r>
        <w:t xml:space="preserve"> Water Heating Specifications (AWHS)</w:t>
      </w:r>
    </w:p>
    <w:p w:rsidR="007D0738" w:rsidP="007D0738" w:rsidRDefault="001577CA" w14:paraId="1F246FB8" w14:textId="0627BA79">
      <w:pPr>
        <w:pStyle w:val="PR2"/>
      </w:pPr>
      <w:r>
        <w:t xml:space="preserve">For any supplemental water heating equipment, such as back-up and temperature maintenance heating, use electric resistance or heat pump </w:t>
      </w:r>
      <w:proofErr w:type="gramStart"/>
      <w:r>
        <w:t>technology</w:t>
      </w:r>
      <w:proofErr w:type="gramEnd"/>
    </w:p>
    <w:p w:rsidR="001577CA" w:rsidP="007D0738" w:rsidRDefault="000E5C01" w14:paraId="3D295ED2" w14:textId="0955C442">
      <w:pPr>
        <w:pStyle w:val="PR2"/>
      </w:pPr>
      <w:r>
        <w:t xml:space="preserve">Prioritize </w:t>
      </w:r>
      <w:r w:rsidR="005576AE">
        <w:t>use of h</w:t>
      </w:r>
      <w:r w:rsidR="7965AB01">
        <w:t xml:space="preserve">eat </w:t>
      </w:r>
      <w:r w:rsidR="003C00FF">
        <w:t>pumps that</w:t>
      </w:r>
      <w:r w:rsidR="7965AB01">
        <w:t xml:space="preserve"> use </w:t>
      </w:r>
      <w:r w:rsidR="002B68BB">
        <w:t>R-744 (CO</w:t>
      </w:r>
      <w:r w:rsidRPr="00323E21" w:rsidR="002B68BB">
        <w:rPr>
          <w:vertAlign w:val="subscript"/>
        </w:rPr>
        <w:t>2</w:t>
      </w:r>
      <w:r w:rsidR="002B68BB">
        <w:t xml:space="preserve">) or other safe, </w:t>
      </w:r>
      <w:r w:rsidR="005576AE">
        <w:t xml:space="preserve">natural </w:t>
      </w:r>
      <w:r w:rsidR="7965AB01">
        <w:t>refrigerant</w:t>
      </w:r>
      <w:r w:rsidR="005576AE">
        <w:t>s, as they have low</w:t>
      </w:r>
      <w:r w:rsidR="7965AB01">
        <w:t xml:space="preserve"> global warming potential (GWP) </w:t>
      </w:r>
      <w:r w:rsidR="005576AE">
        <w:t xml:space="preserve">and limited other known </w:t>
      </w:r>
      <w:r w:rsidR="002B68BB">
        <w:t>environmental impacts.</w:t>
      </w:r>
    </w:p>
    <w:p w:rsidR="001577CA" w:rsidP="007D0738" w:rsidRDefault="7965AB01" w14:paraId="40F23CD3" w14:textId="7671D8A9">
      <w:pPr>
        <w:pStyle w:val="PR2"/>
      </w:pPr>
      <w:r>
        <w:t xml:space="preserve">Provide plumbing </w:t>
      </w:r>
      <w:proofErr w:type="gramStart"/>
      <w:r>
        <w:t>engineer</w:t>
      </w:r>
      <w:proofErr w:type="gramEnd"/>
      <w:r>
        <w:t xml:space="preserve"> with the anticipated occupancy by unit type (people/unit) to facilitate in sizing the water heating system. Additionally, when available for a similar existing building, provide the following:</w:t>
      </w:r>
    </w:p>
    <w:p w:rsidR="7965AB01" w:rsidP="7965AB01" w:rsidRDefault="7965AB01" w14:paraId="5DE4DC65" w14:textId="1DF75DD1">
      <w:pPr>
        <w:pStyle w:val="PR3"/>
      </w:pPr>
      <w:r>
        <w:t xml:space="preserve">Water </w:t>
      </w:r>
      <w:proofErr w:type="gramStart"/>
      <w:r>
        <w:t>demands for</w:t>
      </w:r>
      <w:proofErr w:type="gramEnd"/>
      <w:r>
        <w:t xml:space="preserve"> typical plumbing fixtures and appliances that use hot </w:t>
      </w:r>
      <w:r w:rsidR="00E43B33">
        <w:t>water.</w:t>
      </w:r>
    </w:p>
    <w:p w:rsidR="7965AB01" w:rsidP="7965AB01" w:rsidRDefault="7965AB01" w14:paraId="57AB94A5" w14:textId="6E3DC22F">
      <w:pPr>
        <w:pStyle w:val="PR3"/>
      </w:pPr>
      <w:r>
        <w:t>Average sub</w:t>
      </w:r>
      <w:r w:rsidR="00D75DC1">
        <w:t>-</w:t>
      </w:r>
      <w:r>
        <w:t>metered daily hot water consumption (gallons/day, by unit type</w:t>
      </w:r>
      <w:r w:rsidR="002A4612">
        <w:t>.</w:t>
      </w:r>
    </w:p>
    <w:p w:rsidR="7965AB01" w:rsidP="7965AB01" w:rsidRDefault="7965AB01" w14:paraId="180E377D" w14:textId="4BFE717A">
      <w:pPr>
        <w:pStyle w:val="PR3"/>
      </w:pPr>
      <w:r>
        <w:t>Hourly or short interval hot water demand profile (gallons/hour), by unit or for central hot water plant</w:t>
      </w:r>
      <w:r w:rsidR="002A4612">
        <w:t>.</w:t>
      </w:r>
    </w:p>
    <w:p w:rsidR="001577CA" w:rsidP="001577CA" w:rsidRDefault="001577CA" w14:paraId="4C59E399" w14:textId="570ADE03">
      <w:pPr>
        <w:pStyle w:val="PR1"/>
        <w:tabs>
          <w:tab w:val="num" w:pos="540"/>
        </w:tabs>
        <w:ind w:left="540" w:hanging="396"/>
      </w:pPr>
      <w:r>
        <w:t>Water Heating Plant</w:t>
      </w:r>
    </w:p>
    <w:p w:rsidR="001577CA" w:rsidP="001577CA" w:rsidRDefault="001577CA" w14:paraId="56F40F67" w14:textId="689ACEC2">
      <w:pPr>
        <w:pStyle w:val="PR2"/>
      </w:pPr>
      <w:r>
        <w:t>Pipe Sizing</w:t>
      </w:r>
    </w:p>
    <w:p w:rsidR="007F1EF9" w:rsidP="007F1EF9" w:rsidRDefault="7965AB01" w14:paraId="15FAE276" w14:textId="66ADB48F">
      <w:pPr>
        <w:pStyle w:val="PR3"/>
      </w:pPr>
      <w:r>
        <w:t xml:space="preserve">Size water main and building hot and </w:t>
      </w:r>
      <w:r w:rsidR="002A4612">
        <w:t>cold-water</w:t>
      </w:r>
      <w:r>
        <w:t xml:space="preserve"> piping using the most current version of the International Association of Plumbing &amp; Mechanical Officials (IAPMO) Uniform Plumbing Code (UPC) Appendix M Peak Water Demand Calculator. This method should be used to size al piping, including:</w:t>
      </w:r>
    </w:p>
    <w:p w:rsidR="7965AB01" w:rsidP="7965AB01" w:rsidRDefault="7965AB01" w14:paraId="6B6C89A1" w14:textId="1E6EBCF8">
      <w:pPr>
        <w:pStyle w:val="PR4"/>
      </w:pPr>
      <w:r>
        <w:t xml:space="preserve">Water main to </w:t>
      </w:r>
      <w:r w:rsidR="00DA4F21">
        <w:t>building.</w:t>
      </w:r>
    </w:p>
    <w:p w:rsidR="7965AB01" w:rsidP="7965AB01" w:rsidRDefault="7965AB01" w14:paraId="17870320" w14:textId="4CD43753">
      <w:pPr>
        <w:pStyle w:val="PR4"/>
      </w:pPr>
      <w:r>
        <w:t>Make-up water supply to water heating plant</w:t>
      </w:r>
      <w:r w:rsidR="00DA4F21">
        <w:t>.</w:t>
      </w:r>
    </w:p>
    <w:p w:rsidR="7965AB01" w:rsidP="7965AB01" w:rsidRDefault="7965AB01" w14:paraId="10E809EA" w14:textId="7AEDB330">
      <w:pPr>
        <w:pStyle w:val="PR4"/>
      </w:pPr>
      <w:r>
        <w:t xml:space="preserve">The cold and hot water supply piping, including horizontal trunks and </w:t>
      </w:r>
      <w:r w:rsidR="00DA4F21">
        <w:t>risers.</w:t>
      </w:r>
    </w:p>
    <w:p w:rsidR="7965AB01" w:rsidP="7965AB01" w:rsidRDefault="7965AB01" w14:paraId="565B8046" w14:textId="195429CC">
      <w:pPr>
        <w:pStyle w:val="PR4"/>
      </w:pPr>
      <w:r>
        <w:t>The branch piping to each apartment manifold or any other branches in the building</w:t>
      </w:r>
      <w:r w:rsidR="00DA4F21">
        <w:t>.</w:t>
      </w:r>
    </w:p>
    <w:p w:rsidR="00862BF7" w:rsidP="007F1EF9" w:rsidRDefault="7965AB01" w14:paraId="264723E3" w14:textId="3B8735B2">
      <w:pPr>
        <w:pStyle w:val="PR3"/>
      </w:pPr>
      <w:r>
        <w:t xml:space="preserve">In plumbing plans or separate document, include a screenshot of WDC calculator for all unique piping sections listed above, for both hot and cold </w:t>
      </w:r>
      <w:r w:rsidR="002A4612">
        <w:t>water.</w:t>
      </w:r>
    </w:p>
    <w:p w:rsidR="00862BF7" w:rsidP="007F1EF9" w:rsidRDefault="7965AB01" w14:paraId="392ADE1D" w14:textId="69E682FF">
      <w:pPr>
        <w:pStyle w:val="PR3"/>
      </w:pPr>
      <w:r>
        <w:t xml:space="preserve">Where a manifold is being used to distribute water to the fixtures in the apartments, consider </w:t>
      </w:r>
      <w:r w:rsidR="00DA4F21">
        <w:t>the use</w:t>
      </w:r>
      <w:r>
        <w:t xml:space="preserve"> of 3/8" tubing to distribute water to the fixtures. Base decision on the residual pressure that will be available to operate each fixture. In general, it is not recommended to use 3/8” pipe for high-flow rate fixtures, such as toilets, tubs, or combination tub/shower valves.</w:t>
      </w:r>
    </w:p>
    <w:p w:rsidR="00862BF7" w:rsidP="00DA4F21" w:rsidRDefault="7965AB01" w14:paraId="31EFEC47" w14:textId="78C6F416">
      <w:pPr>
        <w:pStyle w:val="PR2"/>
        <w:keepNext/>
        <w:keepLines/>
      </w:pPr>
      <w:r>
        <w:t>Central Hot Water Distribution Design and Controls</w:t>
      </w:r>
    </w:p>
    <w:p w:rsidR="7965AB01" w:rsidP="00DA4F21" w:rsidRDefault="7965AB01" w14:paraId="551A7ABE" w14:textId="268CCE68">
      <w:pPr>
        <w:pStyle w:val="PR3"/>
        <w:keepNext/>
        <w:keepLines/>
      </w:pPr>
      <w:r>
        <w:t>Minimize the length of the hot water distribution system piping. Start with the layout of the hot water fixtures in the apartments relative to each other and to where hot water will enter each apartment:</w:t>
      </w:r>
    </w:p>
    <w:p w:rsidR="7965AB01" w:rsidP="7965AB01" w:rsidRDefault="7965AB01" w14:paraId="0FD42335" w14:textId="74178B35">
      <w:pPr>
        <w:pStyle w:val="PR4"/>
      </w:pPr>
      <w:r>
        <w:t xml:space="preserve">Develop space plans that locate hot water fixtures close to where the hot water branch will enter the </w:t>
      </w:r>
      <w:r w:rsidR="002A4612">
        <w:t>apartment.</w:t>
      </w:r>
    </w:p>
    <w:p w:rsidR="7965AB01" w:rsidP="7965AB01" w:rsidRDefault="7965AB01" w14:paraId="09EF2D80" w14:textId="2C4615AD">
      <w:pPr>
        <w:pStyle w:val="PR4"/>
      </w:pPr>
      <w:r>
        <w:lastRenderedPageBreak/>
        <w:t>Keep the volume in the branch and twigs from the circulation loop serving the showers to less than 0.25 gallons. Using a 1.5gpm shower, this results in a “</w:t>
      </w:r>
      <w:proofErr w:type="gramStart"/>
      <w:r>
        <w:t>first-use</w:t>
      </w:r>
      <w:proofErr w:type="gramEnd"/>
      <w:r>
        <w:t>” delivery time of roughly 20 seconds</w:t>
      </w:r>
      <w:r w:rsidR="002A4612">
        <w:t>.</w:t>
      </w:r>
    </w:p>
    <w:p w:rsidR="7965AB01" w:rsidP="7965AB01" w:rsidRDefault="7965AB01" w14:paraId="73C9D5FC" w14:textId="3E99C5CD">
      <w:pPr>
        <w:pStyle w:val="PR4"/>
      </w:pPr>
      <w:r>
        <w:t xml:space="preserve">Keep the length of the branch from the circulation loop or riser to the start of any fixture branch to less than 5 feet, including shut off valve, submeter, manifold and total vertical and horizontal pipe distances from the riser. Hot water should not be circulated all the way to dwelling unit </w:t>
      </w:r>
      <w:r w:rsidR="002A4612">
        <w:t>manifolds.</w:t>
      </w:r>
    </w:p>
    <w:p w:rsidR="00DE42BC" w:rsidP="7965AB01" w:rsidRDefault="00DE42BC" w14:paraId="35949575" w14:textId="6C1375F3">
      <w:pPr>
        <w:pStyle w:val="PR3"/>
      </w:pPr>
      <w:r w:rsidRPr="00DE42BC">
        <w:t xml:space="preserve">Wherever possible, mirror the wet rooms in apartments that share a common wall so that stacks of mirrored apartments can share one riser in vertical systems or branch in horizontal systems. Coordinate with structural design to locate the riser outside of shear walls and away from solid structural framing that cannot be penetrated between units by </w:t>
      </w:r>
      <w:r w:rsidRPr="00DE42BC" w:rsidR="006665FF">
        <w:t>piping.</w:t>
      </w:r>
    </w:p>
    <w:p w:rsidR="7965AB01" w:rsidP="7965AB01" w:rsidRDefault="7965AB01" w14:paraId="02806F23" w14:textId="2F49998D">
      <w:pPr>
        <w:pStyle w:val="PR3"/>
      </w:pPr>
      <w:r>
        <w:t xml:space="preserve">Provide the following on the plumbing floor plans or other submittals: </w:t>
      </w:r>
    </w:p>
    <w:p w:rsidR="7965AB01" w:rsidP="7965AB01" w:rsidRDefault="7965AB01" w14:paraId="0CA4BA2E" w14:textId="19884989">
      <w:pPr>
        <w:pStyle w:val="PR4"/>
      </w:pPr>
      <w:r>
        <w:t>The proposed pipe routing for each unique unit type</w:t>
      </w:r>
      <w:r w:rsidR="00A65CE9">
        <w:t>.</w:t>
      </w:r>
    </w:p>
    <w:p w:rsidR="7965AB01" w:rsidP="7965AB01" w:rsidRDefault="7965AB01" w14:paraId="5E4F8C42" w14:textId="6E5A5038">
      <w:pPr>
        <w:pStyle w:val="PR4"/>
      </w:pPr>
      <w:r>
        <w:t xml:space="preserve">Calculations of hot water pipe volume (in gallons) between the showerhead and the circulated hot water source (or water heater), including shut off valve, submeter, the manifold that distributes hot water, as well the total vertical and horizontal pipe distances from the riser to the </w:t>
      </w:r>
      <w:r w:rsidR="006665FF">
        <w:t>showerhead.</w:t>
      </w:r>
    </w:p>
    <w:p w:rsidR="7965AB01" w:rsidP="7965AB01" w:rsidRDefault="7965AB01" w14:paraId="2EFA9CAA" w14:textId="1C79CABD">
      <w:pPr>
        <w:pStyle w:val="PR4"/>
      </w:pPr>
      <w:r>
        <w:t xml:space="preserve">Calculation of estimated shower hot water delivery time (in seconds). This is calculated by dividing the calculated hot water pipe volume by the rated gallons per minute flow rate of the showerhead, then multiplying by two. Multiplying by a factor of two accounts for both the time it takes to first clear the pipe, but also the thermal energy that is absorbed by room-temperature piping during first use after a prolonged period no hot water demand, </w:t>
      </w:r>
      <w:proofErr w:type="gramStart"/>
      <w:r>
        <w:t>i.e.</w:t>
      </w:r>
      <w:proofErr w:type="gramEnd"/>
      <w:r>
        <w:t xml:space="preserve"> representative of the first morning shower use</w:t>
      </w:r>
      <w:r w:rsidR="00A65CE9">
        <w:t>.</w:t>
      </w:r>
    </w:p>
    <w:p w:rsidRPr="00862BF7" w:rsidR="00862BF7" w:rsidP="00862BF7" w:rsidRDefault="7965AB01" w14:paraId="6CA7A183" w14:textId="3C5F2A28">
      <w:pPr>
        <w:pStyle w:val="PR3"/>
      </w:pPr>
      <w:r>
        <w:t xml:space="preserve">Use vertical risers for distribution to multiple floors, as opposed to horizontal (floor-by-floor) distribution unless a detailed calculation of system pipe length indicates horizontal distribution results in less total system pipe heat </w:t>
      </w:r>
      <w:r w:rsidR="006665FF">
        <w:t>loss.</w:t>
      </w:r>
    </w:p>
    <w:p w:rsidR="00EF63C1" w:rsidP="00EF63C1" w:rsidRDefault="7965AB01" w14:paraId="29C9E183" w14:textId="54903CED">
      <w:pPr>
        <w:pStyle w:val="PR3"/>
      </w:pPr>
      <w:r>
        <w:t xml:space="preserve">Locate the primary water heating equipment centrally in the building and as close as possible to dwelling </w:t>
      </w:r>
      <w:r w:rsidR="006665FF">
        <w:t>units.</w:t>
      </w:r>
    </w:p>
    <w:p w:rsidR="7965AB01" w:rsidP="7965AB01" w:rsidRDefault="7965AB01" w14:paraId="46F08959" w14:textId="4027579F">
      <w:pPr>
        <w:pStyle w:val="PR3"/>
      </w:pPr>
      <w:r>
        <w:t xml:space="preserve">For large buildings, or buildings that are segmented, consider using more than one hot water plant/circulation loop for the </w:t>
      </w:r>
      <w:r w:rsidR="006665FF">
        <w:t>building.</w:t>
      </w:r>
    </w:p>
    <w:p w:rsidR="00906551" w:rsidP="00EF63C1" w:rsidRDefault="7965AB01" w14:paraId="4E92B001" w14:textId="037707FD">
      <w:pPr>
        <w:pStyle w:val="PR3"/>
      </w:pPr>
      <w:r>
        <w:t>Recirculation pumps should have electrically commutated motors (ECM) with variable speed/flow controls, and each riser should have a self-actuating thermostatic balancing valve. Valves should be readily accessible and serviceable (with isolation valves).</w:t>
      </w:r>
    </w:p>
    <w:p w:rsidR="00906551" w:rsidP="00906551" w:rsidRDefault="7965AB01" w14:paraId="44DD7F4B" w14:textId="6E11B7C9">
      <w:pPr>
        <w:pStyle w:val="PR3"/>
      </w:pPr>
      <w:r>
        <w:t>Use a properly sized electronic thermostatic mixing valve (TMV) to control temperature of hot water supplied to the building, configure TMV to revert to full cold or maintain current valve position if the circulation pump is shut off (by controller or upon power failure). The TMV should be sized based on the peak hot water flow rate determined using Appendix M</w:t>
      </w:r>
      <w:r w:rsidR="00661ACA">
        <w:t>.</w:t>
      </w:r>
    </w:p>
    <w:p w:rsidR="7965AB01" w:rsidP="7965AB01" w:rsidRDefault="7965AB01" w14:paraId="17C916D0" w14:textId="38C48ED5">
      <w:pPr>
        <w:pStyle w:val="PR3"/>
      </w:pPr>
      <w:r>
        <w:t xml:space="preserve">Use thermally broken hangers and other pipe supports for all insulated </w:t>
      </w:r>
      <w:proofErr w:type="gramStart"/>
      <w:r>
        <w:t>pipe</w:t>
      </w:r>
      <w:proofErr w:type="gramEnd"/>
      <w:r w:rsidR="00661ACA">
        <w:t>.</w:t>
      </w:r>
    </w:p>
    <w:p w:rsidR="00906551" w:rsidP="00906551" w:rsidRDefault="7965AB01" w14:paraId="00693B83" w14:textId="67A8621C">
      <w:pPr>
        <w:pStyle w:val="PR3"/>
      </w:pPr>
      <w:r>
        <w:t>Insulate hot water supply and recirculation (return) piping with 1” thicker than required by WSEC</w:t>
      </w:r>
      <w:r w:rsidR="00661ACA">
        <w:t>.</w:t>
      </w:r>
    </w:p>
    <w:p w:rsidR="002D4B5C" w:rsidP="002D4B5C" w:rsidRDefault="002D4B5C" w14:paraId="141E710A" w14:textId="5E6C707E">
      <w:pPr>
        <w:pStyle w:val="PR1"/>
        <w:tabs>
          <w:tab w:val="num" w:pos="540"/>
        </w:tabs>
        <w:ind w:left="540" w:hanging="396"/>
      </w:pPr>
      <w:r>
        <w:t>Fixtures and Appliances</w:t>
      </w:r>
    </w:p>
    <w:p w:rsidR="002D4B5C" w:rsidP="002D4B5C" w:rsidRDefault="0065059A" w14:paraId="01248A43" w14:textId="29EEA44A">
      <w:pPr>
        <w:pStyle w:val="PR2"/>
      </w:pPr>
      <w:r>
        <w:t>Toilets</w:t>
      </w:r>
    </w:p>
    <w:p w:rsidR="0065059A" w:rsidP="0065059A" w:rsidRDefault="0065059A" w14:paraId="43217476" w14:textId="0E8F4DEC">
      <w:pPr>
        <w:pStyle w:val="PR3"/>
      </w:pPr>
      <w:proofErr w:type="spellStart"/>
      <w:r>
        <w:t>MaP</w:t>
      </w:r>
      <w:proofErr w:type="spellEnd"/>
      <w:r>
        <w:t xml:space="preserve"> Premium-rated</w:t>
      </w:r>
    </w:p>
    <w:p w:rsidR="0065059A" w:rsidP="0065059A" w:rsidRDefault="0065059A" w14:paraId="2AAD1274" w14:textId="001C1BE3">
      <w:pPr>
        <w:pStyle w:val="PR4"/>
      </w:pPr>
      <w:proofErr w:type="spellStart"/>
      <w:r>
        <w:t>WaterSense</w:t>
      </w:r>
      <w:proofErr w:type="spellEnd"/>
      <w:r>
        <w:t xml:space="preserve"> Certified </w:t>
      </w:r>
    </w:p>
    <w:p w:rsidR="0065059A" w:rsidP="0065059A" w:rsidRDefault="0065059A" w14:paraId="516691E1" w14:textId="26359029">
      <w:pPr>
        <w:pStyle w:val="PR4"/>
      </w:pPr>
      <w:r>
        <w:t>0.8-1.1 gallons per flush (GPF)</w:t>
      </w:r>
    </w:p>
    <w:p w:rsidR="0065059A" w:rsidP="0065059A" w:rsidRDefault="7965AB01" w14:paraId="6FE83BC6" w14:textId="6305F75E">
      <w:pPr>
        <w:pStyle w:val="PR3"/>
      </w:pPr>
      <w:proofErr w:type="spellStart"/>
      <w:r>
        <w:t>MaP</w:t>
      </w:r>
      <w:proofErr w:type="spellEnd"/>
      <w:r>
        <w:t xml:space="preserve"> flush performance score &gt;800 grams</w:t>
      </w:r>
    </w:p>
    <w:p w:rsidR="0065059A" w:rsidP="0065059A" w:rsidRDefault="0065059A" w14:paraId="2AB3438D" w14:textId="091345C7">
      <w:pPr>
        <w:pStyle w:val="PR3"/>
      </w:pPr>
      <w:r>
        <w:t xml:space="preserve">Avoid dual-flush and pressure/power-assisted </w:t>
      </w:r>
      <w:r w:rsidR="005C06C7">
        <w:t>toilets.</w:t>
      </w:r>
    </w:p>
    <w:p w:rsidR="0065059A" w:rsidP="0065059A" w:rsidRDefault="7965AB01" w14:paraId="3F272A45" w14:textId="34278860">
      <w:pPr>
        <w:pStyle w:val="PR3"/>
      </w:pPr>
      <w:r>
        <w:t xml:space="preserve">Slope all drain lines ≥ ¼” per </w:t>
      </w:r>
      <w:r w:rsidR="005C06C7">
        <w:t>foot.</w:t>
      </w:r>
    </w:p>
    <w:p w:rsidR="0065059A" w:rsidP="0065059A" w:rsidRDefault="7965AB01" w14:paraId="5C8D5FB9" w14:textId="210E57A3">
      <w:pPr>
        <w:pStyle w:val="PR3"/>
      </w:pPr>
      <w:r>
        <w:t xml:space="preserve">Where possible, locate toilet downstream of other fixtures on a drain </w:t>
      </w:r>
      <w:r w:rsidR="005C06C7">
        <w:t>branch.</w:t>
      </w:r>
    </w:p>
    <w:p w:rsidR="00657EDE" w:rsidP="7965AB01" w:rsidRDefault="7965AB01" w14:paraId="5506AA83" w14:textId="3E44DBFC">
      <w:pPr>
        <w:pStyle w:val="PR3"/>
      </w:pPr>
      <w:r>
        <w:t>Incorporate flapper replacement into maintenance schedules to preempt leaks (replace every 5 years)</w:t>
      </w:r>
      <w:r w:rsidR="005C06C7">
        <w:t>.</w:t>
      </w:r>
    </w:p>
    <w:p w:rsidR="7965AB01" w:rsidP="00786514" w:rsidRDefault="7965AB01" w14:paraId="1B1C2CE6" w14:textId="72B82F3B">
      <w:pPr>
        <w:pStyle w:val="PR3"/>
      </w:pPr>
      <w:r>
        <w:t>Provide education to tenants related on what to flush to avoid clogs and drain line issues</w:t>
      </w:r>
      <w:r w:rsidR="005C06C7">
        <w:t>.</w:t>
      </w:r>
    </w:p>
    <w:p w:rsidR="00F752B4" w:rsidP="00F752B4" w:rsidRDefault="3F3E02A9" w14:paraId="753E7E5F" w14:textId="2E9B9039">
      <w:pPr>
        <w:pStyle w:val="PR2"/>
      </w:pPr>
      <w:r>
        <w:t>Showerheads</w:t>
      </w:r>
    </w:p>
    <w:p w:rsidR="00F752B4" w:rsidP="00F752B4" w:rsidRDefault="00F752B4" w14:paraId="7DE70C83" w14:textId="7869AFFC">
      <w:pPr>
        <w:pStyle w:val="PR3"/>
      </w:pPr>
      <w:proofErr w:type="spellStart"/>
      <w:r>
        <w:t>WaterSense</w:t>
      </w:r>
      <w:proofErr w:type="spellEnd"/>
      <w:r>
        <w:t xml:space="preserve"> </w:t>
      </w:r>
      <w:r w:rsidR="00A76CF5">
        <w:t>certified.</w:t>
      </w:r>
    </w:p>
    <w:p w:rsidR="00F752B4" w:rsidP="00F752B4" w:rsidRDefault="7965AB01" w14:paraId="23D80357" w14:textId="77777777">
      <w:pPr>
        <w:pStyle w:val="PR3"/>
      </w:pPr>
      <w:r>
        <w:t>1.5 gallons per minute (</w:t>
      </w:r>
      <w:proofErr w:type="spellStart"/>
      <w:r>
        <w:t>gpm</w:t>
      </w:r>
      <w:proofErr w:type="spellEnd"/>
      <w:r>
        <w:t>)</w:t>
      </w:r>
    </w:p>
    <w:p w:rsidR="7965AB01" w:rsidP="7965AB01" w:rsidRDefault="7965AB01" w14:paraId="7FD953C1" w14:textId="301AE63E">
      <w:pPr>
        <w:pStyle w:val="PR3"/>
      </w:pPr>
      <w:r>
        <w:t>Has a variable/adjustable spray pattern.</w:t>
      </w:r>
    </w:p>
    <w:p w:rsidR="00F752B4" w:rsidP="00F752B4" w:rsidRDefault="7965AB01" w14:paraId="20F8954E" w14:textId="1EF8DEBA">
      <w:pPr>
        <w:pStyle w:val="PR3"/>
      </w:pPr>
      <w:r>
        <w:lastRenderedPageBreak/>
        <w:t>Specify acceptable hand-held option for property management to provide if needed. Hand-held showers should have hoses with a minimum inside diameter of at least 0.3”</w:t>
      </w:r>
      <w:r w:rsidR="005C06C7">
        <w:t>.</w:t>
      </w:r>
    </w:p>
    <w:p w:rsidR="00F752B4" w:rsidP="00F752B4" w:rsidRDefault="00F752B4" w14:paraId="52994277" w14:textId="5EA5B921">
      <w:pPr>
        <w:pStyle w:val="PR2"/>
      </w:pPr>
      <w:r>
        <w:t>Bathroom Faucets</w:t>
      </w:r>
    </w:p>
    <w:p w:rsidR="00F752B4" w:rsidP="00F752B4" w:rsidRDefault="7965AB01" w14:paraId="2D13E8F8" w14:textId="644C588B">
      <w:pPr>
        <w:pStyle w:val="PR3"/>
      </w:pPr>
      <w:proofErr w:type="spellStart"/>
      <w:r>
        <w:t>WaterSense</w:t>
      </w:r>
      <w:proofErr w:type="spellEnd"/>
      <w:r>
        <w:t xml:space="preserve"> certified and submittal documentation that confirms the faucet’s aerator provides a flow rate close to the one specified over a wide range of actual operating </w:t>
      </w:r>
      <w:r w:rsidR="005C06C7">
        <w:t>pressures.</w:t>
      </w:r>
    </w:p>
    <w:p w:rsidR="00F752B4" w:rsidRDefault="00F603A8" w14:paraId="16AE6D66" w14:textId="3D4F4A32">
      <w:pPr>
        <w:pStyle w:val="PR3"/>
      </w:pPr>
      <w:r w:rsidRPr="00786514">
        <w:t>0.8</w:t>
      </w:r>
      <w:r w:rsidRPr="00786514" w:rsidR="7965AB01">
        <w:t xml:space="preserve"> </w:t>
      </w:r>
      <w:r w:rsidRPr="00786514">
        <w:t>–</w:t>
      </w:r>
      <w:r w:rsidRPr="00786514" w:rsidR="7965AB01">
        <w:t xml:space="preserve"> 1.0 </w:t>
      </w:r>
      <w:proofErr w:type="spellStart"/>
      <w:r w:rsidRPr="00786514" w:rsidR="7965AB01">
        <w:t>gpm</w:t>
      </w:r>
      <w:proofErr w:type="spellEnd"/>
      <w:r w:rsidRPr="00786514">
        <w:t xml:space="preserve">, </w:t>
      </w:r>
      <w:r w:rsidRPr="00786514" w:rsidR="000C4339">
        <w:t xml:space="preserve">or as low as 0.5 </w:t>
      </w:r>
      <w:proofErr w:type="spellStart"/>
      <w:r w:rsidRPr="00786514" w:rsidR="000C4339">
        <w:t>gpm</w:t>
      </w:r>
      <w:proofErr w:type="spellEnd"/>
      <w:r w:rsidRPr="00786514" w:rsidR="000C4339">
        <w:t xml:space="preserve"> using a quality </w:t>
      </w:r>
      <w:r w:rsidR="7965AB01">
        <w:t>spray stream aerator</w:t>
      </w:r>
      <w:r w:rsidR="000C4339">
        <w:t>.</w:t>
      </w:r>
    </w:p>
    <w:p w:rsidR="7965AB01" w:rsidP="7965AB01" w:rsidRDefault="7965AB01" w14:paraId="792FCBAF" w14:textId="2FB8BD1D">
      <w:pPr>
        <w:pStyle w:val="PR3"/>
      </w:pPr>
      <w:r>
        <w:t>Consider using cold start faucets</w:t>
      </w:r>
      <w:r w:rsidR="000C4339">
        <w:t>.</w:t>
      </w:r>
    </w:p>
    <w:p w:rsidR="00F752B4" w:rsidP="00F752B4" w:rsidRDefault="00F752B4" w14:paraId="49276C45" w14:textId="2847CCBB">
      <w:pPr>
        <w:pStyle w:val="PR2"/>
      </w:pPr>
      <w:r>
        <w:t>Kitchen Faucet</w:t>
      </w:r>
    </w:p>
    <w:p w:rsidR="00F752B4" w:rsidP="00F752B4" w:rsidRDefault="7965AB01" w14:paraId="427D6511" w14:textId="1382A4D2">
      <w:pPr>
        <w:pStyle w:val="PR3"/>
      </w:pPr>
      <w:proofErr w:type="spellStart"/>
      <w:r>
        <w:t>WaterSense</w:t>
      </w:r>
      <w:proofErr w:type="spellEnd"/>
      <w:r>
        <w:t xml:space="preserve"> certified and submittal documentation that confirms the faucet’s aerator provides a flow rate close to the one specified over a wide range of actual operating pressures.</w:t>
      </w:r>
    </w:p>
    <w:p w:rsidR="00F752B4" w:rsidP="00F752B4" w:rsidRDefault="7965AB01" w14:paraId="5F9B22A1" w14:textId="56D4A785">
      <w:pPr>
        <w:pStyle w:val="PR3"/>
      </w:pPr>
      <w:r>
        <w:t xml:space="preserve">Minimum 1.5 </w:t>
      </w:r>
      <w:proofErr w:type="spellStart"/>
      <w:r>
        <w:t>gpm</w:t>
      </w:r>
      <w:proofErr w:type="spellEnd"/>
      <w:r w:rsidR="00970A15">
        <w:t xml:space="preserve">, maximum 1.75 </w:t>
      </w:r>
      <w:proofErr w:type="spellStart"/>
      <w:r w:rsidR="00970A15">
        <w:t>gpm</w:t>
      </w:r>
      <w:proofErr w:type="spellEnd"/>
      <w:r w:rsidR="00970A15">
        <w:t>.</w:t>
      </w:r>
    </w:p>
    <w:p w:rsidR="00F752B4" w:rsidP="00F752B4" w:rsidRDefault="7965AB01" w14:paraId="5D8C5214" w14:textId="0B5361D9">
      <w:pPr>
        <w:pStyle w:val="PR3"/>
      </w:pPr>
      <w:r>
        <w:t xml:space="preserve">Pause control and spray pattern options for </w:t>
      </w:r>
      <w:r w:rsidR="00A76CF5">
        <w:t xml:space="preserve">dish </w:t>
      </w:r>
      <w:r>
        <w:t>washing recommended, especially if built-in dishwasher is not provided.</w:t>
      </w:r>
    </w:p>
    <w:p w:rsidR="7965AB01" w:rsidP="7965AB01" w:rsidRDefault="7965AB01" w14:paraId="4B3BBD65" w14:textId="6D69B2BF">
      <w:pPr>
        <w:pStyle w:val="PR3"/>
      </w:pPr>
      <w:r>
        <w:t>Consider using cold start faucets</w:t>
      </w:r>
      <w:r w:rsidR="000C4339">
        <w:t>.</w:t>
      </w:r>
    </w:p>
    <w:p w:rsidR="00F752B4" w:rsidP="005D6CA8" w:rsidRDefault="005D6CA8" w14:paraId="6585FC12" w14:textId="7025EA6E">
      <w:pPr>
        <w:pStyle w:val="PR2"/>
      </w:pPr>
      <w:r>
        <w:t>Dishwasher</w:t>
      </w:r>
    </w:p>
    <w:p w:rsidR="005D6CA8" w:rsidP="005D6CA8" w:rsidRDefault="005D6CA8" w14:paraId="55FACC81" w14:textId="09915D7F">
      <w:pPr>
        <w:pStyle w:val="PR3"/>
      </w:pPr>
      <w:r>
        <w:t>ENERGY STAR qualified</w:t>
      </w:r>
      <w:r w:rsidR="00A76CF5">
        <w:t>.</w:t>
      </w:r>
    </w:p>
    <w:p w:rsidR="005D6CA8" w:rsidP="005D6CA8" w:rsidRDefault="005D6CA8" w14:paraId="1184678E" w14:textId="28BC89DC">
      <w:pPr>
        <w:pStyle w:val="PR3"/>
      </w:pPr>
      <w:r>
        <w:t>Provided for all 2+ bedroom units</w:t>
      </w:r>
      <w:r w:rsidR="00A76CF5">
        <w:t>.</w:t>
      </w:r>
    </w:p>
    <w:p w:rsidR="005D6CA8" w:rsidP="005D6CA8" w:rsidRDefault="7965AB01" w14:paraId="1F855B46" w14:textId="7215C432">
      <w:pPr>
        <w:pStyle w:val="PR3"/>
      </w:pPr>
      <w:r>
        <w:t>Choose model with lowest gallons per cycle (</w:t>
      </w:r>
      <w:proofErr w:type="spellStart"/>
      <w:r>
        <w:t>gpc</w:t>
      </w:r>
      <w:proofErr w:type="spellEnd"/>
      <w:r>
        <w:t xml:space="preserve">) performance and which have filters that can easily be </w:t>
      </w:r>
      <w:r w:rsidR="00A76CF5">
        <w:t>cleaned.</w:t>
      </w:r>
    </w:p>
    <w:p w:rsidR="005D6CA8" w:rsidP="005D6CA8" w:rsidRDefault="005D6CA8" w14:paraId="799F7EE9" w14:textId="5E17FF12">
      <w:pPr>
        <w:pStyle w:val="PR2"/>
      </w:pPr>
      <w:r>
        <w:t>Clothes Washers</w:t>
      </w:r>
    </w:p>
    <w:p w:rsidR="005D6CA8" w:rsidP="005D6CA8" w:rsidRDefault="005D6CA8" w14:paraId="3B09ED2E" w14:textId="77777777">
      <w:pPr>
        <w:pStyle w:val="PR3"/>
      </w:pPr>
      <w:r>
        <w:t>ENERGY STAR qualified.</w:t>
      </w:r>
    </w:p>
    <w:p w:rsidR="005D6CA8" w:rsidP="005D6CA8" w:rsidRDefault="005D6CA8" w14:paraId="06DCCCFD" w14:textId="77777777">
      <w:pPr>
        <w:pStyle w:val="PR3"/>
      </w:pPr>
      <w:r>
        <w:t xml:space="preserve">In-unit laundry </w:t>
      </w:r>
      <w:proofErr w:type="gramStart"/>
      <w:r>
        <w:t>only</w:t>
      </w:r>
      <w:proofErr w:type="gramEnd"/>
      <w:r>
        <w:t xml:space="preserve"> provided in 3+ bedroom units.</w:t>
      </w:r>
    </w:p>
    <w:p w:rsidR="005D6CA8" w:rsidP="005D6CA8" w:rsidRDefault="7965AB01" w14:paraId="5FB0C021" w14:textId="77777777">
      <w:pPr>
        <w:pStyle w:val="PR3"/>
      </w:pPr>
      <w:r>
        <w:t xml:space="preserve">Choose </w:t>
      </w:r>
      <w:proofErr w:type="gramStart"/>
      <w:r>
        <w:t>model</w:t>
      </w:r>
      <w:proofErr w:type="gramEnd"/>
      <w:r>
        <w:t xml:space="preserve"> with lowest available integrated water factor (IWF) in price range.</w:t>
      </w:r>
    </w:p>
    <w:p w:rsidR="7965AB01" w:rsidP="7965AB01" w:rsidRDefault="7965AB01" w14:paraId="4B7C1BCD" w14:textId="11C9ADAA">
      <w:pPr>
        <w:pStyle w:val="PR3"/>
      </w:pPr>
      <w:r>
        <w:t>Consider only connecting washer to cold water or provide signage to inform tenants that cold water is acceptable for all applications.</w:t>
      </w:r>
    </w:p>
    <w:p w:rsidR="005D6CA8" w:rsidP="005D6CA8" w:rsidRDefault="00DB6D35" w14:paraId="2B6D948C" w14:textId="62228265">
      <w:pPr>
        <w:pStyle w:val="PR1"/>
        <w:tabs>
          <w:tab w:val="num" w:pos="540"/>
        </w:tabs>
        <w:ind w:left="540" w:hanging="396"/>
      </w:pPr>
      <w:r>
        <w:t>Metering and Monitoring</w:t>
      </w:r>
    </w:p>
    <w:p w:rsidR="00DB6D35" w:rsidP="00DB6D35" w:rsidRDefault="00DB6D35" w14:paraId="60F1491C" w14:textId="28CC2304">
      <w:pPr>
        <w:pStyle w:val="PR2"/>
      </w:pPr>
      <w:r>
        <w:t>Metering</w:t>
      </w:r>
    </w:p>
    <w:p w:rsidR="00DB6D35" w:rsidP="00DB6D35" w:rsidRDefault="7965AB01" w14:paraId="06A973A3" w14:textId="4711CE5F">
      <w:pPr>
        <w:pStyle w:val="PR3"/>
      </w:pPr>
      <w:r>
        <w:t xml:space="preserve">Install both hot and </w:t>
      </w:r>
      <w:proofErr w:type="gramStart"/>
      <w:r>
        <w:t>cold water</w:t>
      </w:r>
      <w:proofErr w:type="gramEnd"/>
      <w:r>
        <w:t xml:space="preserve"> meters for every dwelling unit, as well as all common laundry rooms and janitor closets (one meter for common riser(s) serving these rooms is acceptable).</w:t>
      </w:r>
    </w:p>
    <w:p w:rsidR="00ED1246" w:rsidP="00DB6D35" w:rsidRDefault="00ED1246" w14:paraId="48C70C3F" w14:textId="5B576CC6">
      <w:pPr>
        <w:pStyle w:val="PR3"/>
      </w:pPr>
      <w:r>
        <w:t>Utilize a remote metering system</w:t>
      </w:r>
      <w:r w:rsidR="00DF37E0">
        <w:t xml:space="preserve"> that does not require access to units for reading.</w:t>
      </w:r>
    </w:p>
    <w:p w:rsidR="00DB6D35" w:rsidP="00DB6D35" w:rsidRDefault="7965AB01" w14:paraId="2DC5F21B" w14:textId="518C9542">
      <w:pPr>
        <w:pStyle w:val="PR3"/>
      </w:pPr>
      <w:r>
        <w:t>Install meters that record consumption in 1-gallon increments.</w:t>
      </w:r>
    </w:p>
    <w:p w:rsidR="00DB6D35" w:rsidP="00DB6D35" w:rsidRDefault="7965AB01" w14:paraId="148FA2A7" w14:textId="7F4DF56A">
      <w:pPr>
        <w:pStyle w:val="PR3"/>
      </w:pPr>
      <w:r>
        <w:t xml:space="preserve">Install meters in a </w:t>
      </w:r>
      <w:proofErr w:type="gramStart"/>
      <w:r>
        <w:t>tamper</w:t>
      </w:r>
      <w:proofErr w:type="gramEnd"/>
      <w:r>
        <w:t>-proof enclosure, with meter transmitters and on-board meter display accessible for maintenance.</w:t>
      </w:r>
    </w:p>
    <w:p w:rsidR="00DB6D35" w:rsidP="00DB6D35" w:rsidRDefault="7965AB01" w14:paraId="655F963D" w14:textId="443D03D3">
      <w:pPr>
        <w:pStyle w:val="PR3"/>
      </w:pPr>
      <w:r>
        <w:t>Ensure commissioning of metering system includes 100% testing that meters are assigned to the correct dwelling unit and hot or cold use, and accurately report consumption within the metering software platform.</w:t>
      </w:r>
    </w:p>
    <w:p w:rsidR="00DB6D35" w:rsidP="00DB6D35" w:rsidRDefault="7965AB01" w14:paraId="3A680BDF" w14:textId="7ED4E196">
      <w:pPr>
        <w:pStyle w:val="PR2"/>
      </w:pPr>
      <w:r>
        <w:t>Monitoring</w:t>
      </w:r>
    </w:p>
    <w:p w:rsidR="7965AB01" w:rsidP="7965AB01" w:rsidRDefault="7965AB01" w14:paraId="03347769" w14:textId="03A79476">
      <w:pPr>
        <w:pStyle w:val="PR3"/>
      </w:pPr>
      <w:r>
        <w:t xml:space="preserve">At minimum, use a monitoring system that automatically records consumption either: a) every hour or, b) once 10 gallons of consumption is measured, and the consumption is reported to a local computer or cloud-based software </w:t>
      </w:r>
      <w:r w:rsidR="00872910">
        <w:t>platform.</w:t>
      </w:r>
    </w:p>
    <w:p w:rsidR="00DB6D35" w:rsidP="00DB6D35" w:rsidRDefault="7965AB01" w14:paraId="1956CE0D" w14:textId="26CAC86C">
      <w:pPr>
        <w:pStyle w:val="PR3"/>
      </w:pPr>
      <w:r>
        <w:t>Install a monitoring system that has ability to automatically alert property management via email and/or SMS text of the following conditions:</w:t>
      </w:r>
    </w:p>
    <w:p w:rsidR="00DB6D35" w:rsidP="00DB6D35" w:rsidRDefault="7965AB01" w14:paraId="322B8F3B" w14:textId="77777777">
      <w:pPr>
        <w:pStyle w:val="PR4"/>
      </w:pPr>
      <w:r>
        <w:t>On weekly or more frequent basis:</w:t>
      </w:r>
    </w:p>
    <w:p w:rsidR="00DB6D35" w:rsidP="00DB6D35" w:rsidRDefault="7965AB01" w14:paraId="4C22A15A" w14:textId="3801E1FA">
      <w:pPr>
        <w:pStyle w:val="PR5"/>
      </w:pPr>
      <w:r>
        <w:t xml:space="preserve">Continuous levels of consumption, such as that associated with a leaky toilet or </w:t>
      </w:r>
      <w:r w:rsidR="00932D7B">
        <w:t>faucet.</w:t>
      </w:r>
    </w:p>
    <w:p w:rsidR="00DB6D35" w:rsidP="00DB6D35" w:rsidRDefault="7965AB01" w14:paraId="6794C825" w14:textId="2D62DAE8">
      <w:pPr>
        <w:pStyle w:val="PR5"/>
      </w:pPr>
      <w:r>
        <w:t>No consumption</w:t>
      </w:r>
    </w:p>
    <w:p w:rsidR="00DB6D35" w:rsidP="00DB6D35" w:rsidRDefault="7965AB01" w14:paraId="51CF1419" w14:textId="77777777">
      <w:pPr>
        <w:pStyle w:val="PR4"/>
      </w:pPr>
      <w:r>
        <w:t>On a daily or more frequent basis:</w:t>
      </w:r>
    </w:p>
    <w:p w:rsidR="00DB6D35" w:rsidP="00DB6D35" w:rsidRDefault="7965AB01" w14:paraId="1042E910" w14:textId="77777777">
      <w:pPr>
        <w:pStyle w:val="PR5"/>
      </w:pPr>
      <w:r>
        <w:t>Equipment failure</w:t>
      </w:r>
    </w:p>
    <w:p w:rsidR="00DB6D35" w:rsidP="00DB6D35" w:rsidRDefault="7965AB01" w14:paraId="71F3C674" w14:textId="77777777">
      <w:pPr>
        <w:pStyle w:val="PR5"/>
      </w:pPr>
      <w:r>
        <w:t>High consumption</w:t>
      </w:r>
    </w:p>
    <w:p w:rsidR="00DB6D35" w:rsidP="00DB6D35" w:rsidRDefault="7965AB01" w14:paraId="30114076" w14:textId="5C2B62C0">
      <w:pPr>
        <w:pStyle w:val="PR3"/>
      </w:pPr>
      <w:r>
        <w:t>Store historical meter data for a minimum of five years and can be exported for analysis outside the metering platform.</w:t>
      </w:r>
    </w:p>
    <w:p w:rsidR="7D32DE14" w:rsidP="7D32DE14" w:rsidRDefault="07A52054" w14:paraId="5056ECAC" w14:textId="119944CE">
      <w:pPr>
        <w:pStyle w:val="PR3"/>
      </w:pPr>
      <w:r>
        <w:t>Use a system that automatically sends a report on a weekly or shorter basis that identifies tenants with the highest water consumption.</w:t>
      </w:r>
    </w:p>
    <w:p w:rsidR="00970A15" w:rsidP="00E96BFF" w:rsidRDefault="006F745A" w14:paraId="00062A0A" w14:textId="07876454">
      <w:pPr>
        <w:pStyle w:val="NoSpacing"/>
      </w:pPr>
      <w:r>
        <w:pict w14:anchorId="7020A1D0">
          <v:rect id="_x0000_i1029" style="width:0;height:1.5pt" o:hr="t" o:hrstd="t" o:hralign="center" fillcolor="#a0a0a0" stroked="f"/>
        </w:pict>
      </w:r>
    </w:p>
    <w:p w:rsidR="07A52054" w:rsidP="07A52054" w:rsidRDefault="07A52054" w14:paraId="455E74BE" w14:textId="372B8597">
      <w:pPr>
        <w:pStyle w:val="ART"/>
      </w:pPr>
      <w:r>
        <w:lastRenderedPageBreak/>
        <w:t>HEALTHY MATERIALS</w:t>
      </w:r>
    </w:p>
    <w:p w:rsidR="006C3B37" w:rsidP="00165696" w:rsidRDefault="00E23481" w14:paraId="593EDE4A" w14:textId="136BF131">
      <w:pPr>
        <w:pStyle w:val="PR1"/>
        <w:tabs>
          <w:tab w:val="num" w:pos="540"/>
        </w:tabs>
        <w:ind w:left="540" w:hanging="396"/>
      </w:pPr>
      <w:r w:rsidRPr="00E23481">
        <w:t xml:space="preserve">The following healthy materials recommendations for affordable housing </w:t>
      </w:r>
      <w:r>
        <w:t>are in</w:t>
      </w:r>
      <w:r w:rsidRPr="00E23481">
        <w:t xml:space="preserve"> consideration of </w:t>
      </w:r>
      <w:r w:rsidR="001C0D8F">
        <w:t xml:space="preserve">the </w:t>
      </w:r>
      <w:r w:rsidRPr="00E23481">
        <w:t>E</w:t>
      </w:r>
      <w:r w:rsidR="001C0D8F">
        <w:t xml:space="preserve">vergreen </w:t>
      </w:r>
      <w:r w:rsidRPr="00E23481">
        <w:t>S</w:t>
      </w:r>
      <w:r w:rsidR="001C0D8F">
        <w:t>ustainable Development Standards (ES</w:t>
      </w:r>
      <w:r w:rsidRPr="00E23481">
        <w:t>DS</w:t>
      </w:r>
      <w:r w:rsidR="001C0D8F">
        <w:t>)</w:t>
      </w:r>
      <w:r w:rsidRPr="00E23481">
        <w:t xml:space="preserve"> and Enterprise </w:t>
      </w:r>
      <w:r w:rsidR="00CB7636">
        <w:t xml:space="preserve">Green Communities </w:t>
      </w:r>
      <w:r w:rsidRPr="00E23481">
        <w:t>requirements.</w:t>
      </w:r>
      <w:r w:rsidR="00E2479D">
        <w:t xml:space="preserve"> </w:t>
      </w:r>
      <w:r w:rsidR="006C3B37">
        <w:t>Submit cutsheets/documentation containing a compliance declaration demonstrating compliance with the following requirements outlined in this section and the summary table in 1.8</w:t>
      </w:r>
      <w:r w:rsidR="00E2479D">
        <w:t>.</w:t>
      </w:r>
      <w:r w:rsidR="006C3B37">
        <w:t>B</w:t>
      </w:r>
    </w:p>
    <w:p w:rsidR="00A92BCB" w:rsidP="00A92BCB" w:rsidRDefault="00A92BCB" w14:paraId="20CB5A84" w14:textId="2D1E28FD">
      <w:pPr>
        <w:pStyle w:val="PR2"/>
      </w:pPr>
      <w:r>
        <w:t>Composites</w:t>
      </w:r>
    </w:p>
    <w:p w:rsidR="00A92BCB" w:rsidP="00A92BCB" w:rsidRDefault="00A92BCB" w14:paraId="7A7012CB" w14:textId="77777777">
      <w:pPr>
        <w:pStyle w:val="PR3"/>
      </w:pPr>
      <w:r>
        <w:t>Composite Woods</w:t>
      </w:r>
    </w:p>
    <w:p w:rsidR="00A92BCB" w:rsidP="00786514" w:rsidRDefault="00A92BCB" w14:paraId="25BE5D61" w14:textId="6D312590">
      <w:pPr>
        <w:pStyle w:val="PR4"/>
      </w:pPr>
      <w:r>
        <w:t xml:space="preserve">For composite wood materials, use formaldehyde-free </w:t>
      </w:r>
      <w:r w:rsidR="0024752C">
        <w:t>products.</w:t>
      </w:r>
    </w:p>
    <w:p w:rsidR="00A92BCB" w:rsidP="00A92BCB" w:rsidRDefault="00FB28D6" w14:paraId="03400B01" w14:textId="24617391">
      <w:pPr>
        <w:pStyle w:val="PR2"/>
      </w:pPr>
      <w:r>
        <w:t>Sheet</w:t>
      </w:r>
      <w:r w:rsidR="00E43F36">
        <w:t xml:space="preserve"> </w:t>
      </w:r>
      <w:r w:rsidR="00A92BCB">
        <w:t>&amp; Waterproofing</w:t>
      </w:r>
    </w:p>
    <w:p w:rsidR="00A92BCB" w:rsidP="00A92BCB" w:rsidRDefault="00A92BCB" w14:paraId="00D6B991" w14:textId="77777777">
      <w:pPr>
        <w:pStyle w:val="PR3"/>
      </w:pPr>
      <w:r>
        <w:t>Thermoplastic Membrane Roofing</w:t>
      </w:r>
    </w:p>
    <w:p w:rsidR="00142F1E" w:rsidP="00142F1E" w:rsidRDefault="00142F1E" w14:paraId="04D26336" w14:textId="3C1AD55A">
      <w:pPr>
        <w:pStyle w:val="PR4"/>
      </w:pPr>
      <w:r>
        <w:t xml:space="preserve">Use TPO or EPDM membrane roofing to reduce use of materials with </w:t>
      </w:r>
      <w:r w:rsidR="0024752C">
        <w:t>phthalates.</w:t>
      </w:r>
    </w:p>
    <w:p w:rsidR="00A92BCB" w:rsidP="00A92BCB" w:rsidRDefault="00A92BCB" w14:paraId="4A1D54F1" w14:textId="77777777">
      <w:pPr>
        <w:pStyle w:val="PR2"/>
      </w:pPr>
      <w:r>
        <w:t>Thermal Insulation</w:t>
      </w:r>
    </w:p>
    <w:p w:rsidR="00A92BCB" w:rsidP="00A92BCB" w:rsidRDefault="00A92BCB" w14:paraId="62508AE6" w14:textId="77777777">
      <w:pPr>
        <w:pStyle w:val="PR3"/>
      </w:pPr>
      <w:r>
        <w:t>Batt Insulation</w:t>
      </w:r>
    </w:p>
    <w:p w:rsidR="00A92BCB" w:rsidP="00A92BCB" w:rsidRDefault="004732CE" w14:paraId="46ED823B" w14:textId="142C68F1">
      <w:pPr>
        <w:pStyle w:val="PR4"/>
      </w:pPr>
      <w:r>
        <w:t>U</w:t>
      </w:r>
      <w:r w:rsidR="00A92BCB">
        <w:t xml:space="preserve">se formaldehyde-free </w:t>
      </w:r>
      <w:r w:rsidR="0024752C">
        <w:t>products.</w:t>
      </w:r>
    </w:p>
    <w:p w:rsidR="00A92BCB" w:rsidP="00A92BCB" w:rsidRDefault="00A92BCB" w14:paraId="20A9E1C2" w14:textId="77777777">
      <w:pPr>
        <w:pStyle w:val="PR3"/>
      </w:pPr>
      <w:r>
        <w:t>Rigid Board Insulation</w:t>
      </w:r>
    </w:p>
    <w:p w:rsidR="00E43F36" w:rsidP="00E43F36" w:rsidRDefault="004732CE" w14:paraId="6ED6CB28" w14:textId="2DD7F41F">
      <w:pPr>
        <w:pStyle w:val="PR4"/>
      </w:pPr>
      <w:r>
        <w:t>U</w:t>
      </w:r>
      <w:r w:rsidR="00E43F36">
        <w:t>se products with no halogenated flame retardants (HRFS)</w:t>
      </w:r>
      <w:r w:rsidR="0024752C">
        <w:t>.</w:t>
      </w:r>
    </w:p>
    <w:p w:rsidR="00A92BCB" w:rsidP="00E43F36" w:rsidRDefault="00A92BCB" w14:paraId="494D2159" w14:textId="413CA7A1">
      <w:pPr>
        <w:pStyle w:val="PR3"/>
      </w:pPr>
      <w:r>
        <w:t>Acoustic Insulation</w:t>
      </w:r>
    </w:p>
    <w:p w:rsidR="00A92BCB" w:rsidP="00E43F36" w:rsidRDefault="004732CE" w14:paraId="2F053377" w14:textId="12D3F8F3">
      <w:pPr>
        <w:pStyle w:val="PR4"/>
      </w:pPr>
      <w:r>
        <w:t>U</w:t>
      </w:r>
      <w:r w:rsidR="00592C50">
        <w:t>se unfaced formaldehyde-free products</w:t>
      </w:r>
      <w:r w:rsidR="000E59B4">
        <w:t>.</w:t>
      </w:r>
    </w:p>
    <w:p w:rsidR="00A92BCB" w:rsidP="00A92BCB" w:rsidRDefault="00A92BCB" w14:paraId="759437CA" w14:textId="67D91DAB">
      <w:pPr>
        <w:pStyle w:val="PR3"/>
      </w:pPr>
      <w:r>
        <w:t>Blow-in Insulation</w:t>
      </w:r>
      <w:r w:rsidR="004732CE">
        <w:t xml:space="preserve"> (</w:t>
      </w:r>
      <w:r w:rsidR="004732CE">
        <w:t>loose fill, dense pack, and spray-applied)</w:t>
      </w:r>
    </w:p>
    <w:p w:rsidR="009466F3" w:rsidP="009466F3" w:rsidRDefault="004732CE" w14:paraId="398CEDFA" w14:textId="0E240592">
      <w:pPr>
        <w:pStyle w:val="PR4"/>
      </w:pPr>
      <w:r>
        <w:t>U</w:t>
      </w:r>
      <w:r w:rsidR="009466F3">
        <w:t>se wood fiber, fiberglass, mineral wool, loose</w:t>
      </w:r>
      <w:r>
        <w:t xml:space="preserve"> </w:t>
      </w:r>
      <w:r w:rsidR="009466F3">
        <w:t>fill cellulose, or sheep wool</w:t>
      </w:r>
      <w:r w:rsidR="000E59B4">
        <w:t>.</w:t>
      </w:r>
    </w:p>
    <w:p w:rsidR="00A92BCB" w:rsidP="00A92BCB" w:rsidRDefault="00A92BCB" w14:paraId="2CDFCE91" w14:textId="05340F8B">
      <w:pPr>
        <w:pStyle w:val="PR3"/>
      </w:pPr>
      <w:r>
        <w:t xml:space="preserve">Foamed-in-place </w:t>
      </w:r>
      <w:proofErr w:type="gramStart"/>
      <w:r w:rsidR="007E5F4C">
        <w:t>i</w:t>
      </w:r>
      <w:r>
        <w:t>nsulation</w:t>
      </w:r>
      <w:proofErr w:type="gramEnd"/>
    </w:p>
    <w:p w:rsidR="00473A66" w:rsidP="00473A66" w:rsidRDefault="00473A66" w14:paraId="2682591F" w14:textId="7C7A28A3">
      <w:pPr>
        <w:pStyle w:val="PR4"/>
      </w:pPr>
      <w:r>
        <w:t>Do not use polyurethane spray foam</w:t>
      </w:r>
      <w:r w:rsidR="000E59B4">
        <w:t>.</w:t>
      </w:r>
    </w:p>
    <w:p w:rsidR="00D5528E" w:rsidP="00D5528E" w:rsidRDefault="00D5528E" w14:paraId="382744B0" w14:textId="77777777">
      <w:pPr>
        <w:pStyle w:val="PR2"/>
      </w:pPr>
      <w:r>
        <w:t>Wall Panels</w:t>
      </w:r>
    </w:p>
    <w:p w:rsidR="00D5528E" w:rsidP="00D5528E" w:rsidRDefault="00D5528E" w14:paraId="0AD161AC" w14:textId="77777777">
      <w:pPr>
        <w:pStyle w:val="PR3"/>
      </w:pPr>
      <w:r>
        <w:t>Siding</w:t>
      </w:r>
    </w:p>
    <w:p w:rsidR="00D5528E" w:rsidP="00D5528E" w:rsidRDefault="007955E0" w14:paraId="58784AF1" w14:textId="0D03E176">
      <w:pPr>
        <w:pStyle w:val="PR4"/>
      </w:pPr>
      <w:r>
        <w:t>A</w:t>
      </w:r>
      <w:r w:rsidR="00D5528E">
        <w:t>void crystalline silica products.</w:t>
      </w:r>
    </w:p>
    <w:p w:rsidR="00D5528E" w:rsidP="00D5528E" w:rsidRDefault="00D5528E" w14:paraId="19DFF185" w14:textId="77777777">
      <w:pPr>
        <w:pStyle w:val="PR2"/>
      </w:pPr>
      <w:r>
        <w:t>Vapor Permeable Barrier</w:t>
      </w:r>
    </w:p>
    <w:p w:rsidR="00EC71D3" w:rsidP="00D5528E" w:rsidRDefault="00FB28D6" w14:paraId="26539451" w14:textId="5CB55DA3">
      <w:pPr>
        <w:pStyle w:val="PR3"/>
      </w:pPr>
      <w:r>
        <w:t xml:space="preserve">Use products with no halogenated flame retardants (HRFS) and low </w:t>
      </w:r>
      <w:r w:rsidRPr="006704AC">
        <w:t>in volatile organic compounds (VOC)</w:t>
      </w:r>
    </w:p>
    <w:p w:rsidR="00A92BCB" w:rsidP="00A92BCB" w:rsidRDefault="00A92BCB" w14:paraId="420F74C5" w14:textId="7A18D941">
      <w:pPr>
        <w:pStyle w:val="PR2"/>
      </w:pPr>
      <w:r>
        <w:t>Adhesives &amp; Sealants</w:t>
      </w:r>
    </w:p>
    <w:p w:rsidR="00A92BCB" w:rsidP="00A92BCB" w:rsidRDefault="00A92BCB" w14:paraId="65FF8EB8" w14:textId="77777777">
      <w:pPr>
        <w:pStyle w:val="PR3"/>
      </w:pPr>
      <w:r>
        <w:t>Sealants – Indoor Use</w:t>
      </w:r>
    </w:p>
    <w:p w:rsidR="00A92BCB" w:rsidP="00A92BCB" w:rsidRDefault="00A92BCB" w14:paraId="18130AED" w14:textId="211153E9">
      <w:pPr>
        <w:pStyle w:val="PR4"/>
      </w:pPr>
      <w:r>
        <w:t>Use pre-compressed polyurethane joint sealants, and phthalate-free acrylic and/or latex sealants</w:t>
      </w:r>
      <w:r w:rsidR="008408FA">
        <w:t>.</w:t>
      </w:r>
    </w:p>
    <w:p w:rsidR="00A92BCB" w:rsidP="00A92BCB" w:rsidRDefault="00A92BCB" w14:paraId="14474C63" w14:textId="77777777">
      <w:pPr>
        <w:pStyle w:val="PR2"/>
      </w:pPr>
      <w:r>
        <w:t>Openings</w:t>
      </w:r>
    </w:p>
    <w:p w:rsidR="00A92BCB" w:rsidP="00A92BCB" w:rsidRDefault="00A92BCB" w14:paraId="0E4A1CD4" w14:textId="449D058C">
      <w:pPr>
        <w:pStyle w:val="PR3"/>
      </w:pPr>
      <w:r>
        <w:t>For windows and doors made with</w:t>
      </w:r>
      <w:r w:rsidR="00DA4A0D">
        <w:t xml:space="preserve"> polyvinyl chloride (</w:t>
      </w:r>
      <w:r>
        <w:t>PVC</w:t>
      </w:r>
      <w:r w:rsidR="00DA4A0D">
        <w:t>)</w:t>
      </w:r>
      <w:r>
        <w:t>,</w:t>
      </w:r>
    </w:p>
    <w:p w:rsidR="00A92BCB" w:rsidP="00A92BCB" w:rsidRDefault="00A92BCB" w14:paraId="4C40A098" w14:textId="68ED2A94">
      <w:pPr>
        <w:pStyle w:val="PR4"/>
      </w:pPr>
      <w:r>
        <w:t>Use non-vinyl windows and doors</w:t>
      </w:r>
      <w:r w:rsidR="007955E0">
        <w:t>.</w:t>
      </w:r>
    </w:p>
    <w:p w:rsidR="00551794" w:rsidP="00551794" w:rsidRDefault="00551794" w14:paraId="784D5E81" w14:textId="37AEC6C9">
      <w:pPr>
        <w:pStyle w:val="PR2"/>
      </w:pPr>
      <w:r>
        <w:t xml:space="preserve">Resilient Sheet Flooring and </w:t>
      </w:r>
      <w:r w:rsidR="00B03174">
        <w:t>T</w:t>
      </w:r>
      <w:r>
        <w:t>ile Flooring</w:t>
      </w:r>
    </w:p>
    <w:p w:rsidR="00551794" w:rsidP="00551794" w:rsidRDefault="00551794" w14:paraId="4B2F6F3A" w14:textId="6D87713D">
      <w:pPr>
        <w:pStyle w:val="PR4"/>
      </w:pPr>
      <w:r>
        <w:t>Use non-vinyl flooring</w:t>
      </w:r>
      <w:r w:rsidR="007955E0">
        <w:t>.</w:t>
      </w:r>
    </w:p>
    <w:p w:rsidR="00551794" w:rsidP="00551794" w:rsidRDefault="00551794" w14:paraId="75CAE15A" w14:textId="77777777">
      <w:pPr>
        <w:pStyle w:val="PR2"/>
      </w:pPr>
      <w:r>
        <w:t>Carpet</w:t>
      </w:r>
    </w:p>
    <w:p w:rsidR="00551794" w:rsidP="0032350E" w:rsidRDefault="00551794" w14:paraId="418A78E9" w14:textId="440D007F">
      <w:pPr>
        <w:pStyle w:val="PR4"/>
      </w:pPr>
      <w:r>
        <w:t xml:space="preserve">Use </w:t>
      </w:r>
      <w:r w:rsidRPr="00D223F1">
        <w:t xml:space="preserve">products that are free </w:t>
      </w:r>
      <w:r w:rsidR="003937B7">
        <w:t xml:space="preserve">of </w:t>
      </w:r>
      <w:r w:rsidRPr="003937B7" w:rsidR="003937B7">
        <w:t xml:space="preserve">per-and polyfluoroalkyl substances </w:t>
      </w:r>
      <w:r w:rsidR="003937B7">
        <w:t xml:space="preserve">(PFAS) </w:t>
      </w:r>
      <w:r w:rsidRPr="00D223F1">
        <w:t xml:space="preserve">and do not use vinyl or </w:t>
      </w:r>
      <w:r w:rsidR="00B22E7F">
        <w:t>polyurethane</w:t>
      </w:r>
      <w:r w:rsidRPr="00D223F1" w:rsidDel="00B22E7F" w:rsidR="00B22E7F">
        <w:t xml:space="preserve"> </w:t>
      </w:r>
      <w:r w:rsidRPr="00D223F1">
        <w:t>backing or fly ash.  Specify no added antimicrobial agents.</w:t>
      </w:r>
    </w:p>
    <w:p w:rsidR="00BF1D8A" w:rsidP="00BF1D8A" w:rsidRDefault="003A1E86" w14:paraId="5F50801D" w14:textId="1BA5C530">
      <w:pPr>
        <w:pStyle w:val="PR2"/>
      </w:pPr>
      <w:r>
        <w:t>Wall Coverings</w:t>
      </w:r>
    </w:p>
    <w:p w:rsidR="00BF1D8A" w:rsidP="00E96BFF" w:rsidRDefault="00BF1D8A" w14:paraId="719D0900" w14:textId="37DAC8A7">
      <w:pPr>
        <w:pStyle w:val="PR4"/>
      </w:pPr>
      <w:r>
        <w:t xml:space="preserve">Use vinyl free products and </w:t>
      </w:r>
      <w:r w:rsidRPr="00547606">
        <w:t>low in volatile organic compounds (VOC)</w:t>
      </w:r>
    </w:p>
    <w:p w:rsidR="00A92BCB" w:rsidP="00A92BCB" w:rsidRDefault="00A92BCB" w14:paraId="2FB3AD99" w14:textId="5E0F0583">
      <w:pPr>
        <w:pStyle w:val="PR2"/>
      </w:pPr>
      <w:r>
        <w:t>Paints</w:t>
      </w:r>
      <w:r w:rsidR="000654F4">
        <w:t>, Sealers</w:t>
      </w:r>
      <w:r>
        <w:t xml:space="preserve"> &amp; Coatings</w:t>
      </w:r>
    </w:p>
    <w:p w:rsidR="00B03174" w:rsidP="00A92BCB" w:rsidRDefault="00470431" w14:paraId="7A9CD26D" w14:textId="58E488B4">
      <w:pPr>
        <w:pStyle w:val="PR3"/>
      </w:pPr>
      <w:r>
        <w:t>Interior standard water-based paints</w:t>
      </w:r>
    </w:p>
    <w:p w:rsidR="00B03174" w:rsidP="00B03174" w:rsidRDefault="00A92BCB" w14:paraId="4E09FE4A" w14:textId="3B488136">
      <w:pPr>
        <w:pStyle w:val="PR4"/>
      </w:pPr>
      <w:r>
        <w:t>Use APE-Free paints</w:t>
      </w:r>
      <w:r w:rsidR="008408FA">
        <w:t>.</w:t>
      </w:r>
    </w:p>
    <w:p w:rsidR="00B03174" w:rsidP="00695CEA" w:rsidRDefault="00AB0981" w14:paraId="44B8E297" w14:textId="6B629DA6">
      <w:pPr>
        <w:pStyle w:val="PR4"/>
      </w:pPr>
      <w:r w:rsidRPr="00AB0981">
        <w:t>Use paints with low VOC content and emissions: &lt;50 g/L VOC content in the base paint and colorants (aligned with CARB and SCAQMD limits) and low VOC emission certified according to the CDPH standard. Further prefer paints with &lt;10 g/L in the base paint and colorants that do not add to the VOC content.</w:t>
      </w:r>
    </w:p>
    <w:p w:rsidR="006C0D33" w:rsidP="00B03174" w:rsidRDefault="006C0D33" w14:paraId="1CD901A0" w14:textId="30CCC905">
      <w:pPr>
        <w:pStyle w:val="PR4"/>
      </w:pPr>
      <w:r>
        <w:t>Use paint with no PFAS</w:t>
      </w:r>
      <w:r w:rsidR="008408FA">
        <w:t>.</w:t>
      </w:r>
    </w:p>
    <w:p w:rsidR="006C0D33" w:rsidP="006C0D33" w:rsidRDefault="006C0D33" w14:paraId="089CA75C" w14:textId="2DB71C84">
      <w:pPr>
        <w:pStyle w:val="PR4"/>
      </w:pPr>
      <w:r>
        <w:t xml:space="preserve">Use paint without antibacterial health </w:t>
      </w:r>
      <w:r w:rsidRPr="0094717A" w:rsidR="00D440DE">
        <w:t>claims</w:t>
      </w:r>
      <w:r w:rsidR="00D440DE">
        <w:t>,</w:t>
      </w:r>
      <w:r w:rsidR="00952473">
        <w:t xml:space="preserve"> </w:t>
      </w:r>
      <w:proofErr w:type="gramStart"/>
      <w:r w:rsidR="00952473">
        <w:t>i.e.</w:t>
      </w:r>
      <w:proofErr w:type="gramEnd"/>
      <w:r w:rsidRPr="0094717A" w:rsidR="003534A1">
        <w:t xml:space="preserve"> products labeled microbicidal or that claim to kill disease-causing germs, like MRSA or coronavirus. Claims specifically related to mold or mildew are okay</w:t>
      </w:r>
      <w:r w:rsidR="00952473">
        <w:t>.</w:t>
      </w:r>
    </w:p>
    <w:p w:rsidR="001A6789" w:rsidP="001A6789" w:rsidRDefault="001A6789" w14:paraId="74CC1DC9" w14:textId="4F7ADA5D">
      <w:pPr>
        <w:pStyle w:val="PR3"/>
      </w:pPr>
      <w:r>
        <w:t xml:space="preserve">Sealers </w:t>
      </w:r>
      <w:r w:rsidR="003F57C3">
        <w:t>– Outdoor Use</w:t>
      </w:r>
    </w:p>
    <w:p w:rsidR="00740DA8" w:rsidP="00740DA8" w:rsidRDefault="00DD7BA9" w14:paraId="1F7A14B6" w14:textId="54ACEE0B">
      <w:pPr>
        <w:pStyle w:val="PR4"/>
      </w:pPr>
      <w:r w:rsidRPr="0094717A">
        <w:t xml:space="preserve">Do not use coal tar-based </w:t>
      </w:r>
      <w:r w:rsidRPr="0094717A" w:rsidR="00952473">
        <w:t>sealers.</w:t>
      </w:r>
    </w:p>
    <w:p w:rsidR="00DD7BA9" w:rsidP="00740DA8" w:rsidRDefault="00DD7BA9" w14:paraId="2043D35D" w14:textId="63B7DBDA">
      <w:pPr>
        <w:pStyle w:val="PR3"/>
      </w:pPr>
      <w:r>
        <w:t>High-performance coatings</w:t>
      </w:r>
    </w:p>
    <w:p w:rsidR="00DD7BA9" w:rsidP="00DD7BA9" w:rsidRDefault="00DD7BA9" w14:paraId="651068E8" w14:textId="0934ECFF">
      <w:pPr>
        <w:pStyle w:val="PR4"/>
      </w:pPr>
      <w:r>
        <w:lastRenderedPageBreak/>
        <w:t>Use epoxy-free products</w:t>
      </w:r>
      <w:r w:rsidR="00952473">
        <w:t>.</w:t>
      </w:r>
    </w:p>
    <w:p w:rsidR="003F57C3" w:rsidP="003A1E86" w:rsidRDefault="00DD7BA9" w14:paraId="2CDB0948" w14:textId="4E74B3AD">
      <w:pPr>
        <w:pStyle w:val="PR4"/>
      </w:pPr>
      <w:r>
        <w:t>Use isocyanates-free products</w:t>
      </w:r>
      <w:r w:rsidR="00952473">
        <w:t>.</w:t>
      </w:r>
    </w:p>
    <w:p w:rsidR="00A92BCB" w:rsidP="00A92BCB" w:rsidRDefault="00A92BCB" w14:paraId="0C6D3538" w14:textId="77777777">
      <w:pPr>
        <w:pStyle w:val="PR2"/>
      </w:pPr>
      <w:r>
        <w:t>Window Treatments</w:t>
      </w:r>
    </w:p>
    <w:p w:rsidR="00A92BCB" w:rsidP="00A92BCB" w:rsidRDefault="00A92BCB" w14:paraId="549F53B9" w14:textId="77777777">
      <w:pPr>
        <w:pStyle w:val="PR3"/>
      </w:pPr>
      <w:r>
        <w:t>Roller shades</w:t>
      </w:r>
    </w:p>
    <w:p w:rsidR="00A92BCB" w:rsidP="00A92BCB" w:rsidRDefault="00A92BCB" w14:paraId="7F5BCAC0" w14:textId="6E1DC0CC">
      <w:pPr>
        <w:pStyle w:val="PR4"/>
      </w:pPr>
      <w:r>
        <w:t>Use phthalate-free products that are not PVC or vinyl</w:t>
      </w:r>
      <w:r w:rsidR="00952473">
        <w:t>.</w:t>
      </w:r>
    </w:p>
    <w:p w:rsidR="00A92BCB" w:rsidP="00A92BCB" w:rsidRDefault="00A92BCB" w14:paraId="7F7E3330" w14:textId="77777777">
      <w:pPr>
        <w:pStyle w:val="PR2"/>
      </w:pPr>
      <w:r>
        <w:t xml:space="preserve">Casework </w:t>
      </w:r>
    </w:p>
    <w:p w:rsidR="00A92BCB" w:rsidP="00A92BCB" w:rsidRDefault="00A92BCB" w14:paraId="277EB9FE" w14:textId="77777777">
      <w:pPr>
        <w:pStyle w:val="PR3"/>
      </w:pPr>
      <w:r>
        <w:t>Doors and Cabinets</w:t>
      </w:r>
    </w:p>
    <w:p w:rsidR="00A92BCB" w:rsidP="00A92BCB" w:rsidRDefault="00A92BCB" w14:paraId="43B1FAFF" w14:textId="7AE72BB2">
      <w:pPr>
        <w:pStyle w:val="PR4"/>
      </w:pPr>
      <w:r>
        <w:t>Use solid wood</w:t>
      </w:r>
      <w:r w:rsidR="00952473">
        <w:t>.</w:t>
      </w:r>
    </w:p>
    <w:p w:rsidR="00A92BCB" w:rsidP="00A92BCB" w:rsidRDefault="00A92BCB" w14:paraId="1DF6EB8B" w14:textId="11844D71">
      <w:pPr>
        <w:pStyle w:val="PR4"/>
      </w:pPr>
      <w:r>
        <w:t>If not using solid wood, use composite wood with no added formaldehyde</w:t>
      </w:r>
      <w:r w:rsidR="00952473">
        <w:t>.</w:t>
      </w:r>
    </w:p>
    <w:p w:rsidR="00150555" w:rsidP="00150555" w:rsidRDefault="00150555" w14:paraId="6A776351" w14:textId="6DA1B7F6">
      <w:pPr>
        <w:pStyle w:val="PR2"/>
      </w:pPr>
      <w:r>
        <w:t>Countertop</w:t>
      </w:r>
    </w:p>
    <w:p w:rsidR="00FB494F" w:rsidP="00695CEA" w:rsidRDefault="00150555" w14:paraId="407DF109" w14:textId="1B9BB29B">
      <w:pPr>
        <w:pStyle w:val="PR3"/>
      </w:pPr>
      <w:r>
        <w:t xml:space="preserve">Use products with no formaldehyde and </w:t>
      </w:r>
      <w:r w:rsidR="003E5F82">
        <w:t>no sealers with PFAS</w:t>
      </w:r>
      <w:r w:rsidR="00952473">
        <w:t>.</w:t>
      </w:r>
    </w:p>
    <w:p w:rsidR="006D16D3" w:rsidRDefault="006D16D3" w14:paraId="6CB876DD" w14:textId="01899E62"/>
    <w:p w:rsidR="00560A83" w:rsidP="00A53214" w:rsidRDefault="00A92BCB" w14:paraId="4F815D7A" w14:textId="7D6026AB">
      <w:pPr>
        <w:pStyle w:val="PR1"/>
        <w:tabs>
          <w:tab w:val="num" w:pos="540"/>
        </w:tabs>
        <w:ind w:left="540" w:hanging="396"/>
      </w:pPr>
      <w:r>
        <w:t>Summary Table</w:t>
      </w:r>
    </w:p>
    <w:p w:rsidR="00E2479D" w:rsidP="00E96BFF" w:rsidRDefault="00603EE1" w14:paraId="06920B11" w14:textId="45BD70AA">
      <w:pPr>
        <w:pStyle w:val="PR1"/>
        <w:numPr>
          <w:ilvl w:val="0"/>
          <w:numId w:val="0"/>
        </w:numPr>
        <w:ind w:left="450"/>
      </w:pPr>
      <w:r>
        <w:t>A</w:t>
      </w:r>
      <w:r w:rsidR="00E2479D">
        <w:t xml:space="preserve">bbreviations </w:t>
      </w:r>
      <w:r>
        <w:t>not defined in this table</w:t>
      </w:r>
      <w:r w:rsidR="00E2479D">
        <w:t>:</w:t>
      </w:r>
    </w:p>
    <w:p w:rsidR="005113B8" w:rsidP="00695CEA" w:rsidRDefault="002C4EFD" w14:paraId="14F850EC" w14:textId="6F634693">
      <w:pPr>
        <w:pStyle w:val="PR1"/>
        <w:numPr>
          <w:ilvl w:val="0"/>
          <w:numId w:val="0"/>
        </w:numPr>
        <w:ind w:left="450"/>
      </w:pPr>
      <w:r>
        <w:t>CARB: California Air Resources Board</w:t>
      </w:r>
      <w:r>
        <w:br/>
      </w:r>
      <w:r>
        <w:rPr>
          <w:rFonts w:cs="Arial"/>
          <w:color w:val="000000"/>
        </w:rPr>
        <w:t xml:space="preserve">CDPH: </w:t>
      </w:r>
      <w:r w:rsidRPr="00786514">
        <w:rPr>
          <w:rFonts w:cs="Arial"/>
          <w:color w:val="000000"/>
        </w:rPr>
        <w:t>California Department of Public Health</w:t>
      </w:r>
      <w:r w:rsidR="007C27DD">
        <w:br/>
      </w:r>
      <w:r w:rsidR="00605E6B">
        <w:t>PVC: Polyvinyl chloride</w:t>
      </w:r>
      <w:r w:rsidR="001C33B7">
        <w:br/>
      </w:r>
      <w:r w:rsidRPr="0094717A" w:rsidR="001C33B7">
        <w:t>SCAQMD</w:t>
      </w:r>
      <w:r w:rsidR="001C33B7">
        <w:t xml:space="preserve">: </w:t>
      </w:r>
      <w:r w:rsidRPr="00BA09BF" w:rsidR="00BA09BF">
        <w:t>South Coast Air Quality Management District</w:t>
      </w:r>
      <w:r w:rsidR="00603EE1">
        <w:br/>
      </w:r>
      <w:r w:rsidR="00603EE1">
        <w:t xml:space="preserve">TSCA: </w:t>
      </w:r>
      <w:r w:rsidRPr="0066798B" w:rsidR="0066798B">
        <w:t>Toxic Substances Control Act</w:t>
      </w:r>
      <w:r w:rsidR="0014707B">
        <w:br/>
      </w:r>
    </w:p>
    <w:tbl>
      <w:tblPr>
        <w:tblStyle w:val="TableGrid"/>
        <w:tblW w:w="9445" w:type="dxa"/>
        <w:jc w:val="center"/>
        <w:tblLook w:val="04A0" w:firstRow="1" w:lastRow="0" w:firstColumn="1" w:lastColumn="0" w:noHBand="0" w:noVBand="1"/>
      </w:tblPr>
      <w:tblGrid>
        <w:gridCol w:w="1492"/>
        <w:gridCol w:w="1290"/>
        <w:gridCol w:w="2253"/>
        <w:gridCol w:w="2207"/>
        <w:gridCol w:w="2203"/>
      </w:tblGrid>
      <w:tr w:rsidR="004344E1" w:rsidTr="00DE3591" w14:paraId="47A050B1" w14:textId="77777777">
        <w:trPr>
          <w:trHeight w:val="683"/>
          <w:tblHeader/>
          <w:jc w:val="center"/>
        </w:trPr>
        <w:tc>
          <w:tcPr>
            <w:tcW w:w="1492" w:type="dxa"/>
            <w:vMerge w:val="restart"/>
            <w:vAlign w:val="center"/>
          </w:tcPr>
          <w:p w:rsidRPr="00786514" w:rsidR="004344E1" w:rsidP="00D36EC9" w:rsidRDefault="004344E1" w14:paraId="303B3DA2" w14:textId="643FD364">
            <w:pPr>
              <w:pStyle w:val="PR1"/>
              <w:numPr>
                <w:ilvl w:val="0"/>
                <w:numId w:val="0"/>
              </w:numPr>
              <w:jc w:val="center"/>
              <w:rPr>
                <w:b/>
                <w:bCs/>
              </w:rPr>
            </w:pPr>
            <w:r w:rsidRPr="00786514">
              <w:rPr>
                <w:b/>
                <w:bCs/>
              </w:rPr>
              <w:t>Material</w:t>
            </w:r>
          </w:p>
        </w:tc>
        <w:tc>
          <w:tcPr>
            <w:tcW w:w="1290" w:type="dxa"/>
            <w:vMerge w:val="restart"/>
            <w:vAlign w:val="center"/>
          </w:tcPr>
          <w:p w:rsidRPr="00786514" w:rsidR="004344E1" w:rsidP="00D36EC9" w:rsidRDefault="004344E1" w14:paraId="6BB83109" w14:textId="7895AA55">
            <w:pPr>
              <w:pStyle w:val="PR1"/>
              <w:numPr>
                <w:ilvl w:val="0"/>
                <w:numId w:val="0"/>
              </w:numPr>
              <w:jc w:val="center"/>
              <w:rPr>
                <w:b/>
                <w:bCs/>
              </w:rPr>
            </w:pPr>
            <w:r w:rsidRPr="00786514">
              <w:rPr>
                <w:b/>
                <w:bCs/>
              </w:rPr>
              <w:t>Cost Impact</w:t>
            </w:r>
          </w:p>
        </w:tc>
        <w:tc>
          <w:tcPr>
            <w:tcW w:w="2253" w:type="dxa"/>
            <w:vMerge w:val="restart"/>
            <w:vAlign w:val="center"/>
          </w:tcPr>
          <w:p w:rsidRPr="00786514" w:rsidR="004344E1" w:rsidP="00D36EC9" w:rsidRDefault="004344E1" w14:paraId="143E2786" w14:textId="7993EFF9">
            <w:pPr>
              <w:pStyle w:val="PR1"/>
              <w:numPr>
                <w:ilvl w:val="0"/>
                <w:numId w:val="0"/>
              </w:numPr>
              <w:jc w:val="center"/>
              <w:rPr>
                <w:b/>
                <w:bCs/>
              </w:rPr>
            </w:pPr>
            <w:r>
              <w:rPr>
                <w:b/>
                <w:bCs/>
              </w:rPr>
              <w:t>Chemical(s) of Concern</w:t>
            </w:r>
          </w:p>
        </w:tc>
        <w:tc>
          <w:tcPr>
            <w:tcW w:w="2207" w:type="dxa"/>
            <w:vMerge w:val="restart"/>
            <w:vAlign w:val="center"/>
          </w:tcPr>
          <w:p w:rsidRPr="00786514" w:rsidR="004344E1" w:rsidP="00D36EC9" w:rsidRDefault="004344E1" w14:paraId="54250F71" w14:textId="7308AE8F">
            <w:pPr>
              <w:pStyle w:val="PR1"/>
              <w:numPr>
                <w:ilvl w:val="0"/>
                <w:numId w:val="0"/>
              </w:numPr>
              <w:jc w:val="center"/>
              <w:rPr>
                <w:b/>
                <w:bCs/>
              </w:rPr>
            </w:pPr>
            <w:r>
              <w:rPr>
                <w:b/>
                <w:bCs/>
              </w:rPr>
              <w:t>Recommendation</w:t>
            </w:r>
          </w:p>
        </w:tc>
        <w:tc>
          <w:tcPr>
            <w:tcW w:w="2203" w:type="dxa"/>
          </w:tcPr>
          <w:p w:rsidR="004344E1" w:rsidP="00222EA6" w:rsidRDefault="004344E1" w14:paraId="2F7EFFE5" w14:textId="2A00021B">
            <w:pPr>
              <w:pStyle w:val="PR1"/>
              <w:numPr>
                <w:ilvl w:val="0"/>
                <w:numId w:val="0"/>
              </w:numPr>
              <w:jc w:val="center"/>
            </w:pPr>
            <w:r w:rsidRPr="00786514">
              <w:rPr>
                <w:b/>
                <w:bCs/>
              </w:rPr>
              <w:t>ESDS v4.0</w:t>
            </w:r>
            <w:r w:rsidRPr="005348D0">
              <w:rPr>
                <w:b/>
                <w:bCs/>
                <w:vertAlign w:val="superscript"/>
              </w:rPr>
              <w:t>1</w:t>
            </w:r>
            <w:r w:rsidRPr="00786514">
              <w:rPr>
                <w:b/>
                <w:bCs/>
              </w:rPr>
              <w:t xml:space="preserve"> 6.01a Mandatory</w:t>
            </w:r>
            <w:r w:rsidRPr="00786514">
              <w:rPr>
                <w:sz w:val="18"/>
                <w:szCs w:val="18"/>
              </w:rPr>
              <w:t xml:space="preserve"> </w:t>
            </w:r>
          </w:p>
        </w:tc>
      </w:tr>
      <w:tr w:rsidR="004344E1" w:rsidTr="00DE3591" w14:paraId="335E3576" w14:textId="77777777">
        <w:trPr>
          <w:trHeight w:val="611"/>
          <w:tblHeader/>
          <w:jc w:val="center"/>
        </w:trPr>
        <w:tc>
          <w:tcPr>
            <w:tcW w:w="1492" w:type="dxa"/>
            <w:vMerge/>
          </w:tcPr>
          <w:p w:rsidRPr="00786514" w:rsidR="004344E1" w:rsidP="00222EA6" w:rsidRDefault="004344E1" w14:paraId="6AEA2D51" w14:textId="77777777">
            <w:pPr>
              <w:pStyle w:val="PR1"/>
              <w:numPr>
                <w:ilvl w:val="0"/>
                <w:numId w:val="0"/>
              </w:numPr>
              <w:jc w:val="center"/>
              <w:rPr>
                <w:b/>
                <w:bCs/>
              </w:rPr>
            </w:pPr>
          </w:p>
        </w:tc>
        <w:tc>
          <w:tcPr>
            <w:tcW w:w="1290" w:type="dxa"/>
            <w:vMerge/>
          </w:tcPr>
          <w:p w:rsidRPr="00786514" w:rsidR="004344E1" w:rsidP="00BB5CFA" w:rsidRDefault="004344E1" w14:paraId="34D97164" w14:textId="77777777">
            <w:pPr>
              <w:pStyle w:val="PR1"/>
              <w:numPr>
                <w:ilvl w:val="0"/>
                <w:numId w:val="0"/>
              </w:numPr>
              <w:jc w:val="center"/>
              <w:rPr>
                <w:b/>
                <w:bCs/>
              </w:rPr>
            </w:pPr>
          </w:p>
        </w:tc>
        <w:tc>
          <w:tcPr>
            <w:tcW w:w="2253" w:type="dxa"/>
            <w:vMerge/>
          </w:tcPr>
          <w:p w:rsidR="004344E1" w:rsidP="00222EA6" w:rsidRDefault="004344E1" w14:paraId="14DFD1A3" w14:textId="77777777">
            <w:pPr>
              <w:pStyle w:val="PR1"/>
              <w:numPr>
                <w:ilvl w:val="0"/>
                <w:numId w:val="0"/>
              </w:numPr>
              <w:jc w:val="center"/>
              <w:rPr>
                <w:b/>
                <w:bCs/>
              </w:rPr>
            </w:pPr>
          </w:p>
        </w:tc>
        <w:tc>
          <w:tcPr>
            <w:tcW w:w="2207" w:type="dxa"/>
            <w:vMerge/>
          </w:tcPr>
          <w:p w:rsidR="004344E1" w:rsidP="00222EA6" w:rsidRDefault="004344E1" w14:paraId="697A188E" w14:textId="77777777">
            <w:pPr>
              <w:pStyle w:val="PR1"/>
              <w:numPr>
                <w:ilvl w:val="0"/>
                <w:numId w:val="0"/>
              </w:numPr>
              <w:jc w:val="center"/>
              <w:rPr>
                <w:b/>
                <w:bCs/>
              </w:rPr>
            </w:pPr>
          </w:p>
        </w:tc>
        <w:tc>
          <w:tcPr>
            <w:tcW w:w="2203" w:type="dxa"/>
          </w:tcPr>
          <w:p w:rsidRPr="00786514" w:rsidR="004344E1" w:rsidP="00780CE3" w:rsidRDefault="004344E1" w14:paraId="0C0CDE39" w14:textId="2CDE2BC2">
            <w:pPr>
              <w:pStyle w:val="PR1"/>
              <w:numPr>
                <w:ilvl w:val="0"/>
                <w:numId w:val="0"/>
              </w:numPr>
              <w:jc w:val="center"/>
              <w:rPr>
                <w:b/>
                <w:bCs/>
              </w:rPr>
            </w:pPr>
            <w:r w:rsidRPr="00786514">
              <w:rPr>
                <w:b/>
                <w:bCs/>
              </w:rPr>
              <w:t>ESDS v4.0</w:t>
            </w:r>
            <w:r w:rsidRPr="005348D0">
              <w:rPr>
                <w:b/>
                <w:bCs/>
                <w:vertAlign w:val="superscript"/>
              </w:rPr>
              <w:t>1</w:t>
            </w:r>
            <w:r w:rsidRPr="00786514">
              <w:rPr>
                <w:b/>
                <w:bCs/>
              </w:rPr>
              <w:t xml:space="preserve"> 6.01b Optional</w:t>
            </w:r>
          </w:p>
        </w:tc>
      </w:tr>
      <w:tr w:rsidR="004344E1" w:rsidTr="00DE3591" w14:paraId="7BF05A69" w14:textId="77777777">
        <w:trPr>
          <w:trHeight w:val="978"/>
          <w:jc w:val="center"/>
        </w:trPr>
        <w:tc>
          <w:tcPr>
            <w:tcW w:w="1492" w:type="dxa"/>
            <w:vMerge w:val="restart"/>
          </w:tcPr>
          <w:p w:rsidR="004344E1" w:rsidP="00143CB9" w:rsidRDefault="004344E1" w14:paraId="6C447DD9" w14:textId="6B107887">
            <w:pPr>
              <w:pStyle w:val="PR1"/>
              <w:numPr>
                <w:ilvl w:val="0"/>
                <w:numId w:val="0"/>
              </w:numPr>
              <w:jc w:val="center"/>
            </w:pPr>
            <w:r>
              <w:t>Composite Wood</w:t>
            </w:r>
          </w:p>
        </w:tc>
        <w:tc>
          <w:tcPr>
            <w:tcW w:w="1290" w:type="dxa"/>
            <w:vMerge w:val="restart"/>
          </w:tcPr>
          <w:p w:rsidR="004344E1" w:rsidP="00143CB9" w:rsidRDefault="004344E1" w14:paraId="1A9CEF16" w14:textId="20841889">
            <w:pPr>
              <w:pStyle w:val="PR1"/>
              <w:numPr>
                <w:ilvl w:val="0"/>
                <w:numId w:val="0"/>
              </w:numPr>
              <w:jc w:val="center"/>
            </w:pPr>
            <w:r>
              <w:t>Low</w:t>
            </w:r>
          </w:p>
        </w:tc>
        <w:tc>
          <w:tcPr>
            <w:tcW w:w="2253" w:type="dxa"/>
            <w:vMerge w:val="restart"/>
          </w:tcPr>
          <w:p w:rsidR="004344E1" w:rsidP="00BC165C" w:rsidRDefault="004344E1" w14:paraId="118CDF35" w14:textId="3756E68C">
            <w:pPr>
              <w:pStyle w:val="PR1"/>
              <w:numPr>
                <w:ilvl w:val="2"/>
                <w:numId w:val="0"/>
              </w:numPr>
            </w:pPr>
            <w:r w:rsidRPr="0094717A">
              <w:rPr>
                <w:b/>
                <w:bCs/>
              </w:rPr>
              <w:t>Formaldehyde</w:t>
            </w:r>
            <w:r w:rsidRPr="004F57AE">
              <w:t xml:space="preserve"> </w:t>
            </w:r>
            <w:r>
              <w:t>(</w:t>
            </w:r>
            <w:r w:rsidRPr="004F57AE">
              <w:t>causes cancer, eye, nose and throat irritation, and difficulty breathing</w:t>
            </w:r>
            <w:r>
              <w:t>)</w:t>
            </w:r>
          </w:p>
        </w:tc>
        <w:tc>
          <w:tcPr>
            <w:tcW w:w="2207" w:type="dxa"/>
            <w:vMerge w:val="restart"/>
          </w:tcPr>
          <w:p w:rsidR="004344E1" w:rsidP="00BC165C" w:rsidRDefault="004344E1" w14:paraId="0BFFC596" w14:textId="12147069">
            <w:pPr>
              <w:pStyle w:val="PR1"/>
              <w:numPr>
                <w:ilvl w:val="2"/>
                <w:numId w:val="0"/>
              </w:numPr>
            </w:pPr>
            <w:r>
              <w:t>Specify formaldehyde-free products</w:t>
            </w:r>
          </w:p>
        </w:tc>
        <w:tc>
          <w:tcPr>
            <w:tcW w:w="2203" w:type="dxa"/>
            <w:shd w:val="clear" w:color="auto" w:fill="auto"/>
          </w:tcPr>
          <w:p w:rsidR="004344E1" w:rsidP="00786514" w:rsidRDefault="004344E1" w14:paraId="645BC147" w14:textId="62416ACC">
            <w:pPr>
              <w:pStyle w:val="PR1"/>
              <w:numPr>
                <w:ilvl w:val="2"/>
                <w:numId w:val="0"/>
              </w:numPr>
            </w:pPr>
            <w:r>
              <w:t>Formaldehyde - comply with CARB Ph</w:t>
            </w:r>
            <w:r w:rsidR="0066798B">
              <w:t xml:space="preserve">ase </w:t>
            </w:r>
            <w:r>
              <w:t xml:space="preserve">2 and/or TSCA Title </w:t>
            </w:r>
            <w:r w:rsidR="0066798B">
              <w:t>VI</w:t>
            </w:r>
          </w:p>
        </w:tc>
      </w:tr>
      <w:tr w:rsidR="004344E1" w:rsidTr="00DE3591" w14:paraId="0E76ED06" w14:textId="77777777">
        <w:trPr>
          <w:trHeight w:val="978"/>
          <w:jc w:val="center"/>
        </w:trPr>
        <w:tc>
          <w:tcPr>
            <w:tcW w:w="1492" w:type="dxa"/>
            <w:vMerge/>
          </w:tcPr>
          <w:p w:rsidR="004344E1" w:rsidP="00143CB9" w:rsidRDefault="004344E1" w14:paraId="32B36111" w14:textId="77777777">
            <w:pPr>
              <w:pStyle w:val="PR1"/>
              <w:numPr>
                <w:ilvl w:val="0"/>
                <w:numId w:val="0"/>
              </w:numPr>
              <w:jc w:val="center"/>
            </w:pPr>
          </w:p>
        </w:tc>
        <w:tc>
          <w:tcPr>
            <w:tcW w:w="1290" w:type="dxa"/>
            <w:vMerge/>
          </w:tcPr>
          <w:p w:rsidR="004344E1" w:rsidP="00143CB9" w:rsidRDefault="004344E1" w14:paraId="269F990D" w14:textId="77777777">
            <w:pPr>
              <w:pStyle w:val="PR1"/>
              <w:numPr>
                <w:ilvl w:val="0"/>
                <w:numId w:val="0"/>
              </w:numPr>
              <w:jc w:val="center"/>
            </w:pPr>
          </w:p>
        </w:tc>
        <w:tc>
          <w:tcPr>
            <w:tcW w:w="2253" w:type="dxa"/>
            <w:vMerge/>
          </w:tcPr>
          <w:p w:rsidRPr="0094717A" w:rsidR="004344E1" w:rsidP="00BC165C" w:rsidRDefault="004344E1" w14:paraId="53BF5353" w14:textId="77777777">
            <w:pPr>
              <w:pStyle w:val="PR1"/>
              <w:numPr>
                <w:ilvl w:val="2"/>
                <w:numId w:val="0"/>
              </w:numPr>
              <w:rPr>
                <w:b/>
                <w:bCs/>
              </w:rPr>
            </w:pPr>
          </w:p>
        </w:tc>
        <w:tc>
          <w:tcPr>
            <w:tcW w:w="2207" w:type="dxa"/>
            <w:vMerge/>
          </w:tcPr>
          <w:p w:rsidR="004344E1" w:rsidP="00BC165C" w:rsidRDefault="004344E1" w14:paraId="6DEC7B8E" w14:textId="77777777">
            <w:pPr>
              <w:pStyle w:val="PR1"/>
              <w:numPr>
                <w:ilvl w:val="2"/>
                <w:numId w:val="0"/>
              </w:numPr>
            </w:pPr>
          </w:p>
        </w:tc>
        <w:tc>
          <w:tcPr>
            <w:tcW w:w="2203" w:type="dxa"/>
            <w:shd w:val="clear" w:color="auto" w:fill="auto"/>
          </w:tcPr>
          <w:p w:rsidR="004344E1" w:rsidP="00786514" w:rsidRDefault="004344E1" w14:paraId="244CDFB6" w14:textId="45CACBBD">
            <w:pPr>
              <w:pStyle w:val="PR1"/>
              <w:numPr>
                <w:ilvl w:val="2"/>
                <w:numId w:val="0"/>
              </w:numPr>
            </w:pPr>
            <w:r>
              <w:t>Only use No Added Formaldehyde (NAF) or Ultra-Low Emitting Formaldehyde (ULEF)</w:t>
            </w:r>
          </w:p>
        </w:tc>
      </w:tr>
      <w:tr w:rsidR="00F31F59" w:rsidTr="00EF43D5" w14:paraId="50971089" w14:textId="77777777">
        <w:trPr>
          <w:trHeight w:val="2051"/>
          <w:jc w:val="center"/>
        </w:trPr>
        <w:tc>
          <w:tcPr>
            <w:tcW w:w="1492" w:type="dxa"/>
          </w:tcPr>
          <w:p w:rsidR="00F31F59" w:rsidP="00F31F59" w:rsidRDefault="00F31F59" w14:paraId="4EC96F65" w14:textId="3E76CA1B">
            <w:pPr>
              <w:pStyle w:val="PR1"/>
              <w:numPr>
                <w:ilvl w:val="2"/>
                <w:numId w:val="0"/>
              </w:numPr>
              <w:jc w:val="center"/>
            </w:pPr>
            <w:r w:rsidRPr="1ECE42FD">
              <w:rPr>
                <w:rFonts w:ascii="Calibri" w:hAnsi="Calibri" w:cs="Calibri"/>
                <w:color w:val="000000" w:themeColor="text1"/>
                <w:sz w:val="22"/>
                <w:szCs w:val="22"/>
              </w:rPr>
              <w:t>Thermoplastic Membrane Roofing</w:t>
            </w:r>
          </w:p>
        </w:tc>
        <w:tc>
          <w:tcPr>
            <w:tcW w:w="1290" w:type="dxa"/>
          </w:tcPr>
          <w:p w:rsidR="00F31F59" w:rsidP="00F31F59" w:rsidRDefault="00F31F59" w14:paraId="20C35C45" w14:textId="6CD3CFE7">
            <w:pPr>
              <w:pStyle w:val="PR1"/>
              <w:numPr>
                <w:ilvl w:val="2"/>
                <w:numId w:val="0"/>
              </w:numPr>
              <w:jc w:val="center"/>
            </w:pPr>
            <w:r>
              <w:t>Medium</w:t>
            </w:r>
          </w:p>
        </w:tc>
        <w:tc>
          <w:tcPr>
            <w:tcW w:w="2253" w:type="dxa"/>
          </w:tcPr>
          <w:p w:rsidR="00F31F59" w:rsidP="00F31F59" w:rsidRDefault="00F31F59" w14:paraId="01B79019" w14:textId="290EFA1B">
            <w:pPr>
              <w:pStyle w:val="PR1"/>
              <w:numPr>
                <w:ilvl w:val="2"/>
                <w:numId w:val="0"/>
              </w:numPr>
            </w:pPr>
            <w:r w:rsidRPr="00CF50DD">
              <w:rPr>
                <w:b/>
                <w:bCs/>
              </w:rPr>
              <w:t>PVC</w:t>
            </w:r>
            <w:r w:rsidRPr="00CF50DD">
              <w:t xml:space="preserve"> production and disposal create known human carcinogens and PVC membranes may contain </w:t>
            </w:r>
            <w:proofErr w:type="spellStart"/>
            <w:r w:rsidRPr="007F3E31">
              <w:rPr>
                <w:b/>
                <w:bCs/>
              </w:rPr>
              <w:t>Orthophthalates</w:t>
            </w:r>
            <w:proofErr w:type="spellEnd"/>
            <w:r w:rsidRPr="00CF50DD">
              <w:t xml:space="preserve"> (hormone-disrupting plasticizers)</w:t>
            </w:r>
          </w:p>
        </w:tc>
        <w:tc>
          <w:tcPr>
            <w:tcW w:w="2207" w:type="dxa"/>
          </w:tcPr>
          <w:p w:rsidR="00F31F59" w:rsidP="00F31F59" w:rsidRDefault="00F31F59" w14:paraId="56E972F6" w14:textId="086E01F4">
            <w:pPr>
              <w:pStyle w:val="PR1"/>
              <w:numPr>
                <w:ilvl w:val="2"/>
                <w:numId w:val="0"/>
              </w:numPr>
            </w:pPr>
            <w:r>
              <w:t>Specify non-vinyl membrane roofing</w:t>
            </w:r>
          </w:p>
        </w:tc>
        <w:tc>
          <w:tcPr>
            <w:tcW w:w="2203" w:type="dxa"/>
            <w:shd w:val="clear" w:color="auto" w:fill="E7E6E6" w:themeFill="background2"/>
          </w:tcPr>
          <w:p w:rsidR="00F31F59" w:rsidP="00F31F59" w:rsidRDefault="00F31F59" w14:paraId="7A1FB811" w14:textId="441977D6">
            <w:pPr>
              <w:pStyle w:val="PR1"/>
              <w:numPr>
                <w:ilvl w:val="2"/>
                <w:numId w:val="0"/>
              </w:numPr>
            </w:pPr>
            <w:r>
              <w:t>Not addressed in ESDS</w:t>
            </w:r>
            <w:r w:rsidR="00312C41">
              <w:t xml:space="preserve"> 6.01a</w:t>
            </w:r>
          </w:p>
        </w:tc>
      </w:tr>
      <w:tr w:rsidR="00F31F59" w:rsidTr="00EF43D5" w14:paraId="3F0D4C3C" w14:textId="77777777">
        <w:trPr>
          <w:trHeight w:val="701"/>
          <w:jc w:val="center"/>
        </w:trPr>
        <w:tc>
          <w:tcPr>
            <w:tcW w:w="1492" w:type="dxa"/>
          </w:tcPr>
          <w:p w:rsidR="00F31F59" w:rsidP="00F31F59" w:rsidRDefault="00F31F59" w14:paraId="4E623C2C" w14:textId="4409B59D">
            <w:pPr>
              <w:pStyle w:val="PR1"/>
              <w:numPr>
                <w:ilvl w:val="0"/>
                <w:numId w:val="0"/>
              </w:numPr>
              <w:jc w:val="center"/>
            </w:pPr>
            <w:r>
              <w:rPr>
                <w:rFonts w:ascii="Calibri" w:hAnsi="Calibri" w:cs="Calibri"/>
                <w:color w:val="000000"/>
                <w:sz w:val="22"/>
                <w:szCs w:val="22"/>
                <w:shd w:val="clear" w:color="auto" w:fill="FFFFFF"/>
              </w:rPr>
              <w:t>Batt Insulation</w:t>
            </w:r>
          </w:p>
        </w:tc>
        <w:tc>
          <w:tcPr>
            <w:tcW w:w="1290" w:type="dxa"/>
          </w:tcPr>
          <w:p w:rsidR="00F31F59" w:rsidP="00F31F59" w:rsidRDefault="00F31F59" w14:paraId="29AB4D1C" w14:textId="0B39D12F">
            <w:pPr>
              <w:pStyle w:val="PR1"/>
              <w:numPr>
                <w:ilvl w:val="0"/>
                <w:numId w:val="0"/>
              </w:numPr>
              <w:jc w:val="center"/>
            </w:pPr>
            <w:r>
              <w:t>Low</w:t>
            </w:r>
          </w:p>
        </w:tc>
        <w:tc>
          <w:tcPr>
            <w:tcW w:w="2253" w:type="dxa"/>
          </w:tcPr>
          <w:p w:rsidR="00F31F59" w:rsidP="00F31F59" w:rsidRDefault="00F31F59" w14:paraId="2BB9FEF1" w14:textId="0FBAC57D">
            <w:pPr>
              <w:pStyle w:val="PR1"/>
              <w:numPr>
                <w:ilvl w:val="2"/>
                <w:numId w:val="0"/>
              </w:numPr>
            </w:pPr>
            <w:r w:rsidRPr="004F57AE">
              <w:rPr>
                <w:b/>
                <w:bCs/>
              </w:rPr>
              <w:t>Formaldehyde</w:t>
            </w:r>
            <w:r w:rsidRPr="0094717A">
              <w:rPr>
                <w:b/>
                <w:bCs/>
              </w:rPr>
              <w:t xml:space="preserve">  </w:t>
            </w:r>
          </w:p>
        </w:tc>
        <w:tc>
          <w:tcPr>
            <w:tcW w:w="2207" w:type="dxa"/>
          </w:tcPr>
          <w:p w:rsidR="00F31F59" w:rsidP="00F31F59" w:rsidRDefault="00F31F59" w14:paraId="1F62843A" w14:textId="519AE9E0">
            <w:pPr>
              <w:pStyle w:val="PR1"/>
              <w:numPr>
                <w:ilvl w:val="2"/>
                <w:numId w:val="0"/>
              </w:numPr>
            </w:pPr>
            <w:r>
              <w:t>Specify formaldehyde-free products</w:t>
            </w:r>
          </w:p>
        </w:tc>
        <w:tc>
          <w:tcPr>
            <w:tcW w:w="2203" w:type="dxa"/>
            <w:shd w:val="clear" w:color="auto" w:fill="E7E6E6" w:themeFill="background2"/>
          </w:tcPr>
          <w:p w:rsidR="00F31F59" w:rsidP="00F31F59" w:rsidRDefault="00F31F59" w14:paraId="1976403D" w14:textId="3E2179AA">
            <w:pPr>
              <w:pStyle w:val="PR1"/>
              <w:numPr>
                <w:ilvl w:val="2"/>
                <w:numId w:val="0"/>
              </w:numPr>
            </w:pPr>
            <w:r>
              <w:t>Not addressed in ESDS</w:t>
            </w:r>
            <w:r w:rsidR="00312C41">
              <w:t xml:space="preserve"> 6.01b</w:t>
            </w:r>
          </w:p>
        </w:tc>
      </w:tr>
      <w:tr w:rsidR="00DE3591" w:rsidTr="00DE3591" w14:paraId="4A0E2CD6" w14:textId="77777777">
        <w:trPr>
          <w:trHeight w:val="990"/>
          <w:jc w:val="center"/>
        </w:trPr>
        <w:tc>
          <w:tcPr>
            <w:tcW w:w="1492" w:type="dxa"/>
            <w:vMerge w:val="restart"/>
          </w:tcPr>
          <w:p w:rsidR="00DE3591" w:rsidP="00F31F59" w:rsidRDefault="00DE3591" w14:paraId="7C327641" w14:textId="779E418D">
            <w:pPr>
              <w:pStyle w:val="PR1"/>
              <w:numPr>
                <w:ilvl w:val="0"/>
                <w:numId w:val="0"/>
              </w:numPr>
              <w:jc w:val="center"/>
            </w:pPr>
            <w:r>
              <w:rPr>
                <w:rFonts w:ascii="Calibri" w:hAnsi="Calibri" w:cs="Calibri"/>
                <w:color w:val="000000"/>
                <w:sz w:val="22"/>
                <w:szCs w:val="22"/>
                <w:shd w:val="clear" w:color="auto" w:fill="FFFFFF"/>
              </w:rPr>
              <w:t>Rigid Board Insulation</w:t>
            </w:r>
          </w:p>
        </w:tc>
        <w:tc>
          <w:tcPr>
            <w:tcW w:w="1290" w:type="dxa"/>
            <w:vMerge w:val="restart"/>
          </w:tcPr>
          <w:p w:rsidR="00DE3591" w:rsidP="00F31F59" w:rsidRDefault="00DE3591" w14:paraId="36EFA15C" w14:textId="7A59233D">
            <w:pPr>
              <w:pStyle w:val="PR1"/>
              <w:numPr>
                <w:ilvl w:val="0"/>
                <w:numId w:val="0"/>
              </w:numPr>
              <w:jc w:val="center"/>
            </w:pPr>
            <w:r>
              <w:t>Low</w:t>
            </w:r>
          </w:p>
        </w:tc>
        <w:tc>
          <w:tcPr>
            <w:tcW w:w="2253" w:type="dxa"/>
            <w:vMerge w:val="restart"/>
          </w:tcPr>
          <w:p w:rsidR="00DE3591" w:rsidP="00F31F59" w:rsidRDefault="00DE3591" w14:paraId="220E291B" w14:textId="56118923">
            <w:pPr>
              <w:pStyle w:val="PR1"/>
              <w:numPr>
                <w:ilvl w:val="2"/>
                <w:numId w:val="0"/>
              </w:numPr>
            </w:pPr>
            <w:r w:rsidRPr="0094717A">
              <w:rPr>
                <w:b/>
                <w:bCs/>
              </w:rPr>
              <w:t>Halogenated flame retardants (HFRs)</w:t>
            </w:r>
            <w:r w:rsidRPr="004F57AE">
              <w:t xml:space="preserve"> </w:t>
            </w:r>
            <w:r>
              <w:t>(</w:t>
            </w:r>
            <w:r w:rsidRPr="004F57AE">
              <w:t xml:space="preserve">persistent, </w:t>
            </w:r>
            <w:proofErr w:type="spellStart"/>
            <w:r w:rsidRPr="004F57AE">
              <w:t>bioaccumulative</w:t>
            </w:r>
            <w:proofErr w:type="spellEnd"/>
            <w:r w:rsidRPr="004F57AE">
              <w:t>, and toxic</w:t>
            </w:r>
            <w:r>
              <w:t>)</w:t>
            </w:r>
          </w:p>
        </w:tc>
        <w:tc>
          <w:tcPr>
            <w:tcW w:w="2207" w:type="dxa"/>
            <w:vMerge w:val="restart"/>
          </w:tcPr>
          <w:p w:rsidR="00DE3591" w:rsidP="00F31F59" w:rsidRDefault="00DE3591" w14:paraId="0ABE74E2" w14:textId="4CB08715">
            <w:pPr>
              <w:pStyle w:val="PR1"/>
              <w:numPr>
                <w:ilvl w:val="2"/>
                <w:numId w:val="0"/>
              </w:numPr>
            </w:pPr>
            <w:r>
              <w:t>Specify products with no halogenated flame retardants (HRFS) and no Isocyanates</w:t>
            </w:r>
          </w:p>
        </w:tc>
        <w:tc>
          <w:tcPr>
            <w:tcW w:w="2203" w:type="dxa"/>
          </w:tcPr>
          <w:p w:rsidR="00DE3591" w:rsidP="00F31F59" w:rsidRDefault="00DE3591" w14:paraId="144BACC1" w14:textId="723537EC">
            <w:pPr>
              <w:pStyle w:val="PR1"/>
              <w:numPr>
                <w:ilvl w:val="2"/>
                <w:numId w:val="0"/>
              </w:numPr>
            </w:pPr>
            <w:r>
              <w:t>No HFR</w:t>
            </w:r>
            <w:r w:rsidR="0066798B">
              <w:t>s</w:t>
            </w:r>
          </w:p>
        </w:tc>
      </w:tr>
      <w:tr w:rsidR="00DE3591" w:rsidTr="00EF43D5" w14:paraId="080FB2A0" w14:textId="77777777">
        <w:trPr>
          <w:trHeight w:val="521"/>
          <w:jc w:val="center"/>
        </w:trPr>
        <w:tc>
          <w:tcPr>
            <w:tcW w:w="1492" w:type="dxa"/>
            <w:vMerge/>
          </w:tcPr>
          <w:p w:rsidR="00DE3591" w:rsidP="00F31F59" w:rsidRDefault="00DE3591" w14:paraId="7B5BD9ED" w14:textId="77777777">
            <w:pPr>
              <w:pStyle w:val="PR1"/>
              <w:numPr>
                <w:ilvl w:val="0"/>
                <w:numId w:val="0"/>
              </w:numPr>
              <w:jc w:val="center"/>
              <w:rPr>
                <w:rFonts w:ascii="Calibri" w:hAnsi="Calibri" w:cs="Calibri"/>
                <w:color w:val="000000"/>
                <w:sz w:val="22"/>
                <w:szCs w:val="22"/>
                <w:shd w:val="clear" w:color="auto" w:fill="FFFFFF"/>
              </w:rPr>
            </w:pPr>
          </w:p>
        </w:tc>
        <w:tc>
          <w:tcPr>
            <w:tcW w:w="1290" w:type="dxa"/>
            <w:vMerge/>
          </w:tcPr>
          <w:p w:rsidR="00DE3591" w:rsidP="00F31F59" w:rsidRDefault="00DE3591" w14:paraId="0DC45B1A" w14:textId="77777777">
            <w:pPr>
              <w:pStyle w:val="PR1"/>
              <w:numPr>
                <w:ilvl w:val="0"/>
                <w:numId w:val="0"/>
              </w:numPr>
              <w:jc w:val="center"/>
            </w:pPr>
          </w:p>
        </w:tc>
        <w:tc>
          <w:tcPr>
            <w:tcW w:w="2253" w:type="dxa"/>
            <w:vMerge/>
          </w:tcPr>
          <w:p w:rsidRPr="0094717A" w:rsidR="00DE3591" w:rsidP="00F31F59" w:rsidRDefault="00DE3591" w14:paraId="40E7AD9E" w14:textId="77777777">
            <w:pPr>
              <w:pStyle w:val="PR1"/>
              <w:numPr>
                <w:ilvl w:val="2"/>
                <w:numId w:val="0"/>
              </w:numPr>
              <w:rPr>
                <w:b/>
                <w:bCs/>
              </w:rPr>
            </w:pPr>
          </w:p>
        </w:tc>
        <w:tc>
          <w:tcPr>
            <w:tcW w:w="2207" w:type="dxa"/>
            <w:vMerge/>
          </w:tcPr>
          <w:p w:rsidR="00DE3591" w:rsidP="00F31F59" w:rsidRDefault="00DE3591" w14:paraId="12FC5095" w14:textId="77777777">
            <w:pPr>
              <w:pStyle w:val="PR1"/>
              <w:numPr>
                <w:ilvl w:val="2"/>
                <w:numId w:val="0"/>
              </w:numPr>
            </w:pPr>
          </w:p>
        </w:tc>
        <w:tc>
          <w:tcPr>
            <w:tcW w:w="2203" w:type="dxa"/>
          </w:tcPr>
          <w:p w:rsidR="00DE3591" w:rsidP="00F31F59" w:rsidRDefault="00DE3591" w14:paraId="74AC10DC" w14:textId="18BA689D">
            <w:pPr>
              <w:pStyle w:val="PR1"/>
              <w:numPr>
                <w:ilvl w:val="2"/>
                <w:numId w:val="0"/>
              </w:numPr>
            </w:pPr>
            <w:r>
              <w:t>N/A</w:t>
            </w:r>
          </w:p>
        </w:tc>
      </w:tr>
      <w:tr w:rsidR="00DE3591" w:rsidTr="00EF43D5" w14:paraId="399D1D91" w14:textId="77777777">
        <w:trPr>
          <w:trHeight w:val="1430"/>
          <w:jc w:val="center"/>
        </w:trPr>
        <w:tc>
          <w:tcPr>
            <w:tcW w:w="1492" w:type="dxa"/>
          </w:tcPr>
          <w:p w:rsidR="00DE3591" w:rsidP="00DE3591" w:rsidRDefault="00DE3591" w14:paraId="1CDADFF1" w14:textId="5C60BE87">
            <w:pPr>
              <w:pStyle w:val="PR1"/>
              <w:numPr>
                <w:ilvl w:val="0"/>
                <w:numId w:val="0"/>
              </w:numPr>
              <w:jc w:val="center"/>
            </w:pPr>
            <w:r>
              <w:lastRenderedPageBreak/>
              <w:t>Acoustic Insulation</w:t>
            </w:r>
          </w:p>
        </w:tc>
        <w:tc>
          <w:tcPr>
            <w:tcW w:w="1290" w:type="dxa"/>
          </w:tcPr>
          <w:p w:rsidR="00DE3591" w:rsidP="00DE3591" w:rsidRDefault="00DE3591" w14:paraId="13CDDDFF" w14:textId="48A81926">
            <w:pPr>
              <w:pStyle w:val="PR1"/>
              <w:numPr>
                <w:ilvl w:val="0"/>
                <w:numId w:val="0"/>
              </w:numPr>
              <w:jc w:val="center"/>
            </w:pPr>
            <w:r>
              <w:t>Low</w:t>
            </w:r>
          </w:p>
        </w:tc>
        <w:tc>
          <w:tcPr>
            <w:tcW w:w="2253" w:type="dxa"/>
          </w:tcPr>
          <w:p w:rsidR="00DE3591" w:rsidP="00DE3591" w:rsidRDefault="00DE3591" w14:paraId="5BCA3103" w14:textId="18103E78">
            <w:pPr>
              <w:pStyle w:val="PR1"/>
              <w:numPr>
                <w:ilvl w:val="2"/>
                <w:numId w:val="0"/>
              </w:numPr>
            </w:pPr>
            <w:r w:rsidRPr="004F57AE">
              <w:rPr>
                <w:b/>
                <w:bCs/>
              </w:rPr>
              <w:t>Formaldehyde</w:t>
            </w:r>
            <w:r w:rsidRPr="0094717A">
              <w:rPr>
                <w:b/>
                <w:bCs/>
              </w:rPr>
              <w:t xml:space="preserve">  </w:t>
            </w:r>
          </w:p>
        </w:tc>
        <w:tc>
          <w:tcPr>
            <w:tcW w:w="2207" w:type="dxa"/>
          </w:tcPr>
          <w:p w:rsidR="00DE3591" w:rsidP="00DE3591" w:rsidRDefault="00DE3591" w14:paraId="2364CE8B" w14:textId="2163B9D3">
            <w:pPr>
              <w:pStyle w:val="PR1"/>
              <w:numPr>
                <w:ilvl w:val="2"/>
                <w:numId w:val="0"/>
              </w:numPr>
            </w:pPr>
            <w:r>
              <w:t>Specify formaldehyde-free products</w:t>
            </w:r>
          </w:p>
        </w:tc>
        <w:tc>
          <w:tcPr>
            <w:tcW w:w="2203" w:type="dxa"/>
            <w:shd w:val="clear" w:color="auto" w:fill="E7E6E6" w:themeFill="background2"/>
          </w:tcPr>
          <w:p w:rsidR="00DE3591" w:rsidP="00DE3591" w:rsidRDefault="00DE3591" w14:paraId="76C734D3" w14:textId="3F324D9C">
            <w:pPr>
              <w:pStyle w:val="PR1"/>
              <w:numPr>
                <w:ilvl w:val="2"/>
                <w:numId w:val="0"/>
              </w:numPr>
            </w:pPr>
            <w:r>
              <w:t>Not addressed in ESDS</w:t>
            </w:r>
          </w:p>
        </w:tc>
      </w:tr>
      <w:tr w:rsidR="00DE3591" w:rsidTr="00EF43D5" w14:paraId="76C8B875" w14:textId="77777777">
        <w:trPr>
          <w:trHeight w:val="2420"/>
          <w:jc w:val="center"/>
        </w:trPr>
        <w:tc>
          <w:tcPr>
            <w:tcW w:w="1492" w:type="dxa"/>
          </w:tcPr>
          <w:p w:rsidR="00DE3591" w:rsidP="00DE3591" w:rsidRDefault="00DE3591" w14:paraId="5B8405E9" w14:textId="74BEB5F2">
            <w:pPr>
              <w:pStyle w:val="PR1"/>
              <w:numPr>
                <w:ilvl w:val="0"/>
                <w:numId w:val="0"/>
              </w:numPr>
              <w:jc w:val="center"/>
            </w:pPr>
            <w:r>
              <w:t>Blow-in Insulation</w:t>
            </w:r>
          </w:p>
        </w:tc>
        <w:tc>
          <w:tcPr>
            <w:tcW w:w="1290" w:type="dxa"/>
          </w:tcPr>
          <w:p w:rsidR="00DE3591" w:rsidP="00DE3591" w:rsidRDefault="00DE3591" w14:paraId="72E3AB5C" w14:textId="00A59DDC">
            <w:pPr>
              <w:pStyle w:val="PR1"/>
              <w:numPr>
                <w:ilvl w:val="0"/>
                <w:numId w:val="0"/>
              </w:numPr>
              <w:jc w:val="center"/>
            </w:pPr>
            <w:r>
              <w:t>Low</w:t>
            </w:r>
          </w:p>
        </w:tc>
        <w:tc>
          <w:tcPr>
            <w:tcW w:w="2253" w:type="dxa"/>
          </w:tcPr>
          <w:p w:rsidR="00DE3591" w:rsidP="00DE3591" w:rsidRDefault="00DE3591" w14:paraId="2331E1F5" w14:textId="69D34B24">
            <w:pPr>
              <w:pStyle w:val="PR1"/>
              <w:numPr>
                <w:ilvl w:val="2"/>
                <w:numId w:val="0"/>
              </w:numPr>
            </w:pPr>
            <w:r w:rsidRPr="004F57AE">
              <w:rPr>
                <w:b/>
                <w:bCs/>
              </w:rPr>
              <w:t>Formaldehyde</w:t>
            </w:r>
            <w:r>
              <w:rPr>
                <w:b/>
                <w:bCs/>
              </w:rPr>
              <w:t xml:space="preserve">, HFRs, </w:t>
            </w:r>
            <w:r>
              <w:t xml:space="preserve">and </w:t>
            </w:r>
            <w:proofErr w:type="gramStart"/>
            <w:r>
              <w:t>I</w:t>
            </w:r>
            <w:r>
              <w:rPr>
                <w:b/>
                <w:bCs/>
              </w:rPr>
              <w:t>socyanates</w:t>
            </w:r>
            <w:r>
              <w:t>(</w:t>
            </w:r>
            <w:proofErr w:type="gramEnd"/>
            <w:r>
              <w:t>cause asthma)</w:t>
            </w:r>
          </w:p>
        </w:tc>
        <w:tc>
          <w:tcPr>
            <w:tcW w:w="2207" w:type="dxa"/>
          </w:tcPr>
          <w:p w:rsidR="00DE3591" w:rsidP="00DE3591" w:rsidRDefault="00DE3591" w14:paraId="1B47CC08" w14:textId="4AC57669">
            <w:pPr>
              <w:pStyle w:val="PR1"/>
              <w:numPr>
                <w:ilvl w:val="2"/>
                <w:numId w:val="0"/>
              </w:numPr>
            </w:pPr>
            <w:r>
              <w:t>Use blown-in fiberglass (loose fill, dense pack, and spray-applied) without carcinogenic dedusting oil</w:t>
            </w:r>
          </w:p>
        </w:tc>
        <w:tc>
          <w:tcPr>
            <w:tcW w:w="2203" w:type="dxa"/>
            <w:shd w:val="clear" w:color="auto" w:fill="E7E6E6" w:themeFill="background2"/>
          </w:tcPr>
          <w:p w:rsidR="00DE3591" w:rsidP="00DE3591" w:rsidRDefault="00DE3591" w14:paraId="4BB63F75" w14:textId="059C6B1D">
            <w:pPr>
              <w:pStyle w:val="PR1"/>
              <w:numPr>
                <w:ilvl w:val="2"/>
                <w:numId w:val="0"/>
              </w:numPr>
            </w:pPr>
            <w:r>
              <w:t>Not addressed in ESDS</w:t>
            </w:r>
          </w:p>
        </w:tc>
      </w:tr>
      <w:tr w:rsidR="00DE3591" w:rsidTr="00DE3591" w14:paraId="4FCBA016" w14:textId="77777777">
        <w:trPr>
          <w:trHeight w:val="1380"/>
          <w:jc w:val="center"/>
        </w:trPr>
        <w:tc>
          <w:tcPr>
            <w:tcW w:w="1492" w:type="dxa"/>
            <w:vMerge w:val="restart"/>
          </w:tcPr>
          <w:p w:rsidR="00DE3591" w:rsidP="00DE3591" w:rsidRDefault="00DE3591" w14:paraId="0D5959E4" w14:textId="1F07363D">
            <w:pPr>
              <w:pStyle w:val="PR1"/>
              <w:numPr>
                <w:ilvl w:val="0"/>
                <w:numId w:val="0"/>
              </w:numPr>
              <w:jc w:val="center"/>
            </w:pPr>
            <w:r>
              <w:t>Foamed-in-Place Insulation</w:t>
            </w:r>
          </w:p>
        </w:tc>
        <w:tc>
          <w:tcPr>
            <w:tcW w:w="1290" w:type="dxa"/>
            <w:vMerge w:val="restart"/>
          </w:tcPr>
          <w:p w:rsidR="00DE3591" w:rsidP="00DE3591" w:rsidRDefault="00DE3591" w14:paraId="37DA3D32" w14:textId="117F7300">
            <w:pPr>
              <w:pStyle w:val="PR1"/>
              <w:numPr>
                <w:ilvl w:val="0"/>
                <w:numId w:val="0"/>
              </w:numPr>
              <w:jc w:val="center"/>
            </w:pPr>
            <w:r>
              <w:t xml:space="preserve"> Varies</w:t>
            </w:r>
          </w:p>
        </w:tc>
        <w:tc>
          <w:tcPr>
            <w:tcW w:w="2253" w:type="dxa"/>
            <w:vMerge w:val="restart"/>
          </w:tcPr>
          <w:p w:rsidR="00DE3591" w:rsidP="00DE3591" w:rsidRDefault="00DE3591" w14:paraId="4A6A77F0" w14:textId="76C503FD">
            <w:pPr>
              <w:pStyle w:val="PR1"/>
              <w:numPr>
                <w:ilvl w:val="2"/>
                <w:numId w:val="0"/>
              </w:numPr>
            </w:pPr>
            <w:r w:rsidRPr="0094717A">
              <w:rPr>
                <w:b/>
                <w:bCs/>
              </w:rPr>
              <w:t>Isocyanates</w:t>
            </w:r>
            <w:r>
              <w:rPr>
                <w:b/>
                <w:bCs/>
              </w:rPr>
              <w:t xml:space="preserve"> </w:t>
            </w:r>
            <w:r w:rsidRPr="00D81754">
              <w:t xml:space="preserve">and </w:t>
            </w:r>
            <w:r w:rsidRPr="0094717A">
              <w:rPr>
                <w:b/>
                <w:bCs/>
              </w:rPr>
              <w:t>Halogenated flame retardants (HFR</w:t>
            </w:r>
            <w:r>
              <w:rPr>
                <w:b/>
                <w:bCs/>
              </w:rPr>
              <w:t>s</w:t>
            </w:r>
            <w:r w:rsidRPr="0094717A">
              <w:rPr>
                <w:b/>
                <w:bCs/>
              </w:rPr>
              <w:t>)</w:t>
            </w:r>
          </w:p>
        </w:tc>
        <w:tc>
          <w:tcPr>
            <w:tcW w:w="2207" w:type="dxa"/>
            <w:vMerge w:val="restart"/>
          </w:tcPr>
          <w:p w:rsidRPr="00786514" w:rsidR="00DE3591" w:rsidP="00DE3591" w:rsidRDefault="00DE3591" w14:paraId="204A3802" w14:textId="762F9849">
            <w:pPr>
              <w:shd w:val="clear" w:color="auto" w:fill="FFFFFF"/>
              <w:rPr>
                <w:rFonts w:cs="Arial"/>
                <w:color w:val="000000"/>
              </w:rPr>
            </w:pPr>
            <w:r>
              <w:t>Do not use polyurethane spray foam insulation</w:t>
            </w:r>
          </w:p>
        </w:tc>
        <w:tc>
          <w:tcPr>
            <w:tcW w:w="2203" w:type="dxa"/>
          </w:tcPr>
          <w:p w:rsidR="00537D54" w:rsidP="00E96BFF" w:rsidRDefault="00DE3591" w14:paraId="736FBC51" w14:textId="2D8F1D58">
            <w:pPr>
              <w:pStyle w:val="PR1"/>
              <w:numPr>
                <w:ilvl w:val="0"/>
                <w:numId w:val="0"/>
              </w:numPr>
            </w:pPr>
            <w:r w:rsidRPr="00786514">
              <w:t xml:space="preserve">Comply with </w:t>
            </w:r>
            <w:r w:rsidR="002C4EFD">
              <w:t>CDPH</w:t>
            </w:r>
            <w:r w:rsidRPr="00786514">
              <w:t xml:space="preserve"> Standard</w:t>
            </w:r>
          </w:p>
          <w:p w:rsidRPr="00786514" w:rsidR="00DE3591" w:rsidP="00E96BFF" w:rsidRDefault="00DE3591" w14:paraId="5EBEFE4F" w14:textId="1A4F68AF">
            <w:pPr>
              <w:pStyle w:val="PR1"/>
              <w:numPr>
                <w:ilvl w:val="0"/>
                <w:numId w:val="0"/>
              </w:numPr>
            </w:pPr>
            <w:r w:rsidRPr="00786514">
              <w:t xml:space="preserve">UL </w:t>
            </w:r>
            <w:proofErr w:type="spellStart"/>
            <w:r w:rsidRPr="00786514">
              <w:t>GreenGuard</w:t>
            </w:r>
            <w:proofErr w:type="spellEnd"/>
            <w:r w:rsidRPr="00786514">
              <w:t xml:space="preserve"> Gold</w:t>
            </w:r>
          </w:p>
          <w:p w:rsidRPr="00786514" w:rsidR="00DE3591" w:rsidP="00E96BFF" w:rsidRDefault="00DE3591" w14:paraId="718804AE" w14:textId="62F0BC86">
            <w:pPr>
              <w:pStyle w:val="PR1"/>
              <w:numPr>
                <w:ilvl w:val="0"/>
                <w:numId w:val="0"/>
              </w:numPr>
            </w:pPr>
            <w:r w:rsidRPr="00E96BFF">
              <w:t>No HFC blowing agents</w:t>
            </w:r>
          </w:p>
        </w:tc>
      </w:tr>
      <w:tr w:rsidR="00DE3591" w:rsidTr="00EF43D5" w14:paraId="43A34ED5" w14:textId="77777777">
        <w:trPr>
          <w:trHeight w:val="1484"/>
          <w:jc w:val="center"/>
        </w:trPr>
        <w:tc>
          <w:tcPr>
            <w:tcW w:w="1492" w:type="dxa"/>
            <w:vMerge/>
          </w:tcPr>
          <w:p w:rsidR="00DE3591" w:rsidP="00DE3591" w:rsidRDefault="00DE3591" w14:paraId="5B590E8A" w14:textId="77777777">
            <w:pPr>
              <w:pStyle w:val="PR1"/>
              <w:numPr>
                <w:ilvl w:val="0"/>
                <w:numId w:val="0"/>
              </w:numPr>
              <w:jc w:val="center"/>
            </w:pPr>
          </w:p>
        </w:tc>
        <w:tc>
          <w:tcPr>
            <w:tcW w:w="1290" w:type="dxa"/>
            <w:vMerge/>
          </w:tcPr>
          <w:p w:rsidR="00DE3591" w:rsidP="00DE3591" w:rsidRDefault="00DE3591" w14:paraId="028FB79A" w14:textId="77777777">
            <w:pPr>
              <w:pStyle w:val="PR1"/>
              <w:numPr>
                <w:ilvl w:val="0"/>
                <w:numId w:val="0"/>
              </w:numPr>
              <w:jc w:val="center"/>
            </w:pPr>
          </w:p>
        </w:tc>
        <w:tc>
          <w:tcPr>
            <w:tcW w:w="2253" w:type="dxa"/>
            <w:vMerge/>
          </w:tcPr>
          <w:p w:rsidRPr="0094717A" w:rsidR="00DE3591" w:rsidP="00DE3591" w:rsidRDefault="00DE3591" w14:paraId="5E833EE6" w14:textId="77777777">
            <w:pPr>
              <w:pStyle w:val="PR1"/>
              <w:numPr>
                <w:ilvl w:val="2"/>
                <w:numId w:val="0"/>
              </w:numPr>
              <w:rPr>
                <w:b/>
                <w:bCs/>
              </w:rPr>
            </w:pPr>
          </w:p>
        </w:tc>
        <w:tc>
          <w:tcPr>
            <w:tcW w:w="2207" w:type="dxa"/>
            <w:vMerge/>
          </w:tcPr>
          <w:p w:rsidR="00DE3591" w:rsidP="00DE3591" w:rsidRDefault="00DE3591" w14:paraId="6C10E0FC" w14:textId="77777777">
            <w:pPr>
              <w:shd w:val="clear" w:color="auto" w:fill="FFFFFF"/>
            </w:pPr>
          </w:p>
        </w:tc>
        <w:tc>
          <w:tcPr>
            <w:tcW w:w="2203" w:type="dxa"/>
          </w:tcPr>
          <w:p w:rsidR="00DE3591" w:rsidP="00DE3591" w:rsidRDefault="00DE3591" w14:paraId="7B11FFB5" w14:textId="0E804938">
            <w:pPr>
              <w:shd w:val="clear" w:color="auto" w:fill="FFFFFF"/>
              <w:rPr>
                <w:rFonts w:cs="Arial"/>
                <w:color w:val="000000"/>
              </w:rPr>
            </w:pPr>
            <w:r w:rsidRPr="00786514">
              <w:rPr>
                <w:rFonts w:cs="Arial"/>
                <w:color w:val="000000"/>
              </w:rPr>
              <w:t xml:space="preserve">No spray foam insulation in large area and only for small area application </w:t>
            </w:r>
          </w:p>
          <w:p w:rsidRPr="00B71A5A" w:rsidR="00B71A5A" w:rsidP="00B71A5A" w:rsidRDefault="00B71A5A" w14:paraId="22373D77" w14:textId="6C9A0E64">
            <w:pPr>
              <w:shd w:val="clear" w:color="auto" w:fill="FFFFFF"/>
              <w:rPr>
                <w:color w:val="000000"/>
              </w:rPr>
            </w:pPr>
            <w:r>
              <w:rPr>
                <w:color w:val="000000"/>
              </w:rPr>
              <w:t>-or-</w:t>
            </w:r>
          </w:p>
          <w:p w:rsidRPr="00786514" w:rsidR="00DE3591" w:rsidP="00DE3591" w:rsidRDefault="00DE3591" w14:paraId="5E9415D0" w14:textId="7C8BC5CD">
            <w:pPr>
              <w:shd w:val="clear" w:color="auto" w:fill="FFFFFF"/>
              <w:rPr>
                <w:rFonts w:cs="Arial"/>
                <w:color w:val="000000"/>
              </w:rPr>
            </w:pPr>
            <w:r w:rsidRPr="00786514">
              <w:rPr>
                <w:rFonts w:cs="Arial"/>
                <w:color w:val="000000" w:themeColor="text1"/>
              </w:rPr>
              <w:t>do not use</w:t>
            </w:r>
          </w:p>
        </w:tc>
      </w:tr>
      <w:tr w:rsidR="00DE3591" w:rsidTr="00EF43D5" w14:paraId="7F216C71" w14:textId="77777777">
        <w:trPr>
          <w:trHeight w:val="215"/>
          <w:jc w:val="center"/>
        </w:trPr>
        <w:tc>
          <w:tcPr>
            <w:tcW w:w="1492" w:type="dxa"/>
          </w:tcPr>
          <w:p w:rsidR="00DE3591" w:rsidP="00DE3591" w:rsidRDefault="00DE3591" w14:paraId="7586C599" w14:textId="4F822354">
            <w:pPr>
              <w:pStyle w:val="PR1"/>
              <w:numPr>
                <w:ilvl w:val="0"/>
                <w:numId w:val="0"/>
              </w:numPr>
              <w:jc w:val="center"/>
            </w:pPr>
            <w:r>
              <w:t>Wall Panels</w:t>
            </w:r>
          </w:p>
        </w:tc>
        <w:tc>
          <w:tcPr>
            <w:tcW w:w="1290" w:type="dxa"/>
          </w:tcPr>
          <w:p w:rsidR="00DE3591" w:rsidP="00DE3591" w:rsidRDefault="00DE3591" w14:paraId="4E576682" w14:textId="4E921B71">
            <w:pPr>
              <w:pStyle w:val="PR1"/>
              <w:numPr>
                <w:ilvl w:val="0"/>
                <w:numId w:val="0"/>
              </w:numPr>
              <w:jc w:val="center"/>
            </w:pPr>
            <w:r>
              <w:t>Medium</w:t>
            </w:r>
          </w:p>
        </w:tc>
        <w:tc>
          <w:tcPr>
            <w:tcW w:w="2253" w:type="dxa"/>
          </w:tcPr>
          <w:p w:rsidR="00DE3591" w:rsidP="00DE3591" w:rsidRDefault="00DE3591" w14:paraId="0A0460AC" w14:textId="4DC85CC5">
            <w:pPr>
              <w:pStyle w:val="PR1"/>
              <w:numPr>
                <w:ilvl w:val="2"/>
                <w:numId w:val="0"/>
              </w:numPr>
            </w:pPr>
            <w:r w:rsidRPr="00AA493E">
              <w:rPr>
                <w:b/>
                <w:bCs/>
              </w:rPr>
              <w:t>Crystalline Silica</w:t>
            </w:r>
            <w:r w:rsidRPr="00AA493E">
              <w:t xml:space="preserve"> generated during on-site cutting causes cancer.</w:t>
            </w:r>
          </w:p>
        </w:tc>
        <w:tc>
          <w:tcPr>
            <w:tcW w:w="2207" w:type="dxa"/>
          </w:tcPr>
          <w:p w:rsidR="00DE3591" w:rsidP="00DE3591" w:rsidRDefault="00DE3591" w14:paraId="5A20F069" w14:textId="598C4DFF">
            <w:pPr>
              <w:pStyle w:val="PR1"/>
              <w:numPr>
                <w:ilvl w:val="2"/>
                <w:numId w:val="0"/>
              </w:numPr>
            </w:pPr>
            <w:r>
              <w:t>Specify siding with no Crystalline Silica</w:t>
            </w:r>
          </w:p>
        </w:tc>
        <w:tc>
          <w:tcPr>
            <w:tcW w:w="2203" w:type="dxa"/>
            <w:shd w:val="clear" w:color="auto" w:fill="E7E6E6" w:themeFill="background2"/>
          </w:tcPr>
          <w:p w:rsidR="00DE3591" w:rsidP="00DE3591" w:rsidRDefault="00DE3591" w14:paraId="64FD58FC" w14:textId="610212EF">
            <w:pPr>
              <w:pStyle w:val="PR1"/>
              <w:numPr>
                <w:ilvl w:val="2"/>
                <w:numId w:val="0"/>
              </w:numPr>
            </w:pPr>
            <w:r>
              <w:t>Not addressed in ESDS</w:t>
            </w:r>
          </w:p>
        </w:tc>
      </w:tr>
      <w:tr w:rsidR="00DE3591" w:rsidTr="00DE3591" w14:paraId="3FECDECE" w14:textId="77777777">
        <w:trPr>
          <w:trHeight w:val="2016"/>
          <w:jc w:val="center"/>
        </w:trPr>
        <w:tc>
          <w:tcPr>
            <w:tcW w:w="1492" w:type="dxa"/>
            <w:vMerge w:val="restart"/>
          </w:tcPr>
          <w:p w:rsidR="00DE3591" w:rsidP="00DE3591" w:rsidRDefault="00DE3591" w14:paraId="38DA4FBE" w14:textId="6B9CD31E">
            <w:pPr>
              <w:pStyle w:val="PR1"/>
              <w:numPr>
                <w:ilvl w:val="0"/>
                <w:numId w:val="0"/>
              </w:numPr>
              <w:jc w:val="center"/>
            </w:pPr>
            <w:r>
              <w:t>Vapor Permeable Barrier</w:t>
            </w:r>
          </w:p>
        </w:tc>
        <w:tc>
          <w:tcPr>
            <w:tcW w:w="1290" w:type="dxa"/>
            <w:vMerge w:val="restart"/>
          </w:tcPr>
          <w:p w:rsidR="00DE3591" w:rsidP="00DE3591" w:rsidRDefault="00DE3591" w14:paraId="2A32093C" w14:textId="7A5C1144">
            <w:pPr>
              <w:pStyle w:val="PR1"/>
              <w:numPr>
                <w:ilvl w:val="0"/>
                <w:numId w:val="0"/>
              </w:numPr>
              <w:jc w:val="center"/>
            </w:pPr>
            <w:r>
              <w:t>Low</w:t>
            </w:r>
          </w:p>
        </w:tc>
        <w:tc>
          <w:tcPr>
            <w:tcW w:w="2253" w:type="dxa"/>
            <w:vMerge w:val="restart"/>
          </w:tcPr>
          <w:p w:rsidR="00DE3591" w:rsidP="00DE3591" w:rsidRDefault="00DE3591" w14:paraId="5C991B23" w14:textId="3DF4382A">
            <w:pPr>
              <w:pStyle w:val="PR1"/>
              <w:numPr>
                <w:ilvl w:val="2"/>
                <w:numId w:val="0"/>
              </w:numPr>
            </w:pPr>
            <w:r w:rsidRPr="00AA2F02">
              <w:rPr>
                <w:b/>
                <w:bCs/>
              </w:rPr>
              <w:t xml:space="preserve">VOCs </w:t>
            </w:r>
            <w:r>
              <w:t>(</w:t>
            </w:r>
            <w:r w:rsidRPr="003D34CA">
              <w:t>have a variety of health effects including headache, nausea, eye, nose, and throat irritation, organ damage, and cancer</w:t>
            </w:r>
            <w:r>
              <w:t xml:space="preserve">) and </w:t>
            </w:r>
            <w:r w:rsidRPr="00AA2F02">
              <w:rPr>
                <w:b/>
                <w:bCs/>
              </w:rPr>
              <w:t>Halogenated flame retardants (HFRs)</w:t>
            </w:r>
          </w:p>
        </w:tc>
        <w:tc>
          <w:tcPr>
            <w:tcW w:w="2207" w:type="dxa"/>
            <w:vMerge w:val="restart"/>
          </w:tcPr>
          <w:p w:rsidRPr="0094717A" w:rsidR="00DE3591" w:rsidP="00DE3591" w:rsidRDefault="00DE3591" w14:paraId="00F5EA22" w14:textId="2BB4D793">
            <w:pPr>
              <w:pStyle w:val="PR1"/>
              <w:numPr>
                <w:ilvl w:val="2"/>
                <w:numId w:val="0"/>
              </w:numPr>
            </w:pPr>
            <w:r w:rsidRPr="00A60E94">
              <w:t>Specify products with no halogenated flame retardants (HFRs) and</w:t>
            </w:r>
            <w:r>
              <w:t xml:space="preserve"> low</w:t>
            </w:r>
            <w:r w:rsidRPr="00A60E94">
              <w:t xml:space="preserve"> VOC</w:t>
            </w:r>
            <w:r>
              <w:t xml:space="preserve"> content and emissions (&lt;50 g/L VOC content in the base paint and colorants, aligned with CARB and SCAQMD limits, and low VOC emission certified according to the CDPH standard)</w:t>
            </w:r>
          </w:p>
        </w:tc>
        <w:tc>
          <w:tcPr>
            <w:tcW w:w="2203" w:type="dxa"/>
          </w:tcPr>
          <w:p w:rsidR="00DE3591" w:rsidP="00DE3591" w:rsidRDefault="00DE3591" w14:paraId="78B2ED78" w14:textId="1F418BA2">
            <w:pPr>
              <w:pStyle w:val="PR1"/>
              <w:numPr>
                <w:ilvl w:val="2"/>
                <w:numId w:val="0"/>
              </w:numPr>
            </w:pPr>
            <w:r w:rsidRPr="0094717A">
              <w:t>VOC content less than or equal to the thresholds provided by the SCAQMD Rule 1168</w:t>
            </w:r>
          </w:p>
        </w:tc>
      </w:tr>
      <w:tr w:rsidR="00DE3591" w:rsidTr="00EF43D5" w14:paraId="5626BB44" w14:textId="77777777">
        <w:trPr>
          <w:trHeight w:val="1340"/>
          <w:jc w:val="center"/>
        </w:trPr>
        <w:tc>
          <w:tcPr>
            <w:tcW w:w="1492" w:type="dxa"/>
            <w:vMerge/>
          </w:tcPr>
          <w:p w:rsidR="00DE3591" w:rsidP="00DE3591" w:rsidRDefault="00DE3591" w14:paraId="5571EB17" w14:textId="77777777">
            <w:pPr>
              <w:pStyle w:val="PR1"/>
              <w:numPr>
                <w:ilvl w:val="0"/>
                <w:numId w:val="0"/>
              </w:numPr>
              <w:jc w:val="center"/>
            </w:pPr>
          </w:p>
        </w:tc>
        <w:tc>
          <w:tcPr>
            <w:tcW w:w="1290" w:type="dxa"/>
            <w:vMerge/>
          </w:tcPr>
          <w:p w:rsidR="00DE3591" w:rsidP="00DE3591" w:rsidRDefault="00DE3591" w14:paraId="0E54B8D6" w14:textId="77777777">
            <w:pPr>
              <w:pStyle w:val="PR1"/>
              <w:numPr>
                <w:ilvl w:val="0"/>
                <w:numId w:val="0"/>
              </w:numPr>
              <w:jc w:val="center"/>
            </w:pPr>
          </w:p>
        </w:tc>
        <w:tc>
          <w:tcPr>
            <w:tcW w:w="2253" w:type="dxa"/>
            <w:vMerge/>
          </w:tcPr>
          <w:p w:rsidRPr="00AA2F02" w:rsidR="00DE3591" w:rsidP="00DE3591" w:rsidRDefault="00DE3591" w14:paraId="6343974C" w14:textId="77777777">
            <w:pPr>
              <w:pStyle w:val="PR1"/>
              <w:numPr>
                <w:ilvl w:val="2"/>
                <w:numId w:val="0"/>
              </w:numPr>
              <w:rPr>
                <w:b/>
                <w:bCs/>
              </w:rPr>
            </w:pPr>
          </w:p>
        </w:tc>
        <w:tc>
          <w:tcPr>
            <w:tcW w:w="2207" w:type="dxa"/>
            <w:vMerge/>
          </w:tcPr>
          <w:p w:rsidRPr="00A60E94" w:rsidR="00DE3591" w:rsidP="00DE3591" w:rsidRDefault="00DE3591" w14:paraId="3310293C" w14:textId="77777777">
            <w:pPr>
              <w:pStyle w:val="PR1"/>
              <w:numPr>
                <w:ilvl w:val="2"/>
                <w:numId w:val="0"/>
              </w:numPr>
            </w:pPr>
          </w:p>
        </w:tc>
        <w:tc>
          <w:tcPr>
            <w:tcW w:w="2203" w:type="dxa"/>
          </w:tcPr>
          <w:p w:rsidRPr="0094717A" w:rsidR="00DE3591" w:rsidP="00B71A5A" w:rsidRDefault="00DE3591" w14:paraId="0E0AA87C" w14:textId="3F0FE26B">
            <w:pPr>
              <w:pStyle w:val="PR1"/>
              <w:numPr>
                <w:ilvl w:val="0"/>
                <w:numId w:val="0"/>
              </w:numPr>
            </w:pPr>
            <w:r w:rsidRPr="00CE4156">
              <w:t xml:space="preserve">Comply with </w:t>
            </w:r>
            <w:r w:rsidR="001C33B7">
              <w:t>CDPH</w:t>
            </w:r>
            <w:r w:rsidRPr="00CE4156">
              <w:t xml:space="preserve"> Standard</w:t>
            </w:r>
          </w:p>
        </w:tc>
      </w:tr>
      <w:tr w:rsidR="00DE3591" w:rsidTr="00B71A5A" w14:paraId="752135BA" w14:textId="77777777">
        <w:trPr>
          <w:trHeight w:val="1331"/>
          <w:jc w:val="center"/>
        </w:trPr>
        <w:tc>
          <w:tcPr>
            <w:tcW w:w="1492" w:type="dxa"/>
            <w:vMerge w:val="restart"/>
          </w:tcPr>
          <w:p w:rsidR="00DE3591" w:rsidP="00DE3591" w:rsidRDefault="00DE3591" w14:paraId="63B6BFD6" w14:textId="24704D6E">
            <w:pPr>
              <w:pStyle w:val="PR1"/>
              <w:numPr>
                <w:ilvl w:val="0"/>
                <w:numId w:val="0"/>
              </w:numPr>
              <w:jc w:val="center"/>
            </w:pPr>
            <w:r>
              <w:lastRenderedPageBreak/>
              <w:t>Sealants – Indoor Use</w:t>
            </w:r>
          </w:p>
        </w:tc>
        <w:tc>
          <w:tcPr>
            <w:tcW w:w="1290" w:type="dxa"/>
            <w:vMerge w:val="restart"/>
          </w:tcPr>
          <w:p w:rsidR="00DE3591" w:rsidP="00DE3591" w:rsidRDefault="00DE3591" w14:paraId="74EA65CE" w14:textId="343DB7F3">
            <w:pPr>
              <w:pStyle w:val="PR1"/>
              <w:numPr>
                <w:ilvl w:val="0"/>
                <w:numId w:val="0"/>
              </w:numPr>
              <w:jc w:val="center"/>
            </w:pPr>
            <w:r>
              <w:t>Low</w:t>
            </w:r>
          </w:p>
        </w:tc>
        <w:tc>
          <w:tcPr>
            <w:tcW w:w="2253" w:type="dxa"/>
            <w:vMerge w:val="restart"/>
          </w:tcPr>
          <w:p w:rsidR="00DE3591" w:rsidP="00DE3591" w:rsidRDefault="00DE3591" w14:paraId="5F5093B5" w14:textId="25C50FB0">
            <w:pPr>
              <w:pStyle w:val="PR1"/>
              <w:numPr>
                <w:ilvl w:val="2"/>
                <w:numId w:val="0"/>
              </w:numPr>
            </w:pPr>
            <w:proofErr w:type="spellStart"/>
            <w:r w:rsidRPr="0094717A">
              <w:rPr>
                <w:b/>
                <w:bCs/>
              </w:rPr>
              <w:t>Cyclosiloxanes</w:t>
            </w:r>
            <w:proofErr w:type="spellEnd"/>
            <w:r>
              <w:t xml:space="preserve"> (disrupt hormones), </w:t>
            </w:r>
            <w:r w:rsidRPr="004F57AE">
              <w:rPr>
                <w:b/>
                <w:bCs/>
              </w:rPr>
              <w:t xml:space="preserve">VOCs </w:t>
            </w:r>
            <w:r>
              <w:t>(</w:t>
            </w:r>
            <w:r w:rsidRPr="0094717A">
              <w:t xml:space="preserve">variety of </w:t>
            </w:r>
            <w:r>
              <w:t>h</w:t>
            </w:r>
            <w:r w:rsidRPr="0094717A">
              <w:t>ealth effects including headache, nausea, eye, nose, and throat irritation, organ damage, and cancer</w:t>
            </w:r>
            <w:r>
              <w:t xml:space="preserve">), </w:t>
            </w:r>
            <w:proofErr w:type="spellStart"/>
            <w:r w:rsidRPr="0094717A">
              <w:rPr>
                <w:b/>
                <w:bCs/>
              </w:rPr>
              <w:t>Orthop</w:t>
            </w:r>
            <w:r w:rsidRPr="00A232FE">
              <w:rPr>
                <w:b/>
                <w:bCs/>
              </w:rPr>
              <w:t>hthalates</w:t>
            </w:r>
            <w:proofErr w:type="spellEnd"/>
            <w:r>
              <w:t>,</w:t>
            </w:r>
            <w:r w:rsidRPr="0094717A">
              <w:t xml:space="preserve"> </w:t>
            </w:r>
            <w:r>
              <w:rPr>
                <w:b/>
                <w:bCs/>
              </w:rPr>
              <w:t xml:space="preserve">Isocyanates </w:t>
            </w:r>
            <w:r>
              <w:t xml:space="preserve"> </w:t>
            </w:r>
          </w:p>
        </w:tc>
        <w:tc>
          <w:tcPr>
            <w:tcW w:w="2207" w:type="dxa"/>
            <w:vMerge w:val="restart"/>
          </w:tcPr>
          <w:p w:rsidR="00DE3591" w:rsidP="00DE3591" w:rsidRDefault="00DE3591" w14:paraId="0BB4C1E1" w14:textId="39DD4D96">
            <w:pPr>
              <w:pStyle w:val="PR1"/>
              <w:numPr>
                <w:ilvl w:val="2"/>
                <w:numId w:val="0"/>
              </w:numPr>
            </w:pPr>
            <w:r>
              <w:t>Specify pre-compressed polyurethane joint seal, phthalate-free acrylic and latex sealants</w:t>
            </w:r>
          </w:p>
        </w:tc>
        <w:tc>
          <w:tcPr>
            <w:tcW w:w="2203" w:type="dxa"/>
          </w:tcPr>
          <w:p w:rsidR="00DE3591" w:rsidP="00DE3591" w:rsidRDefault="00DE3591" w14:paraId="313F7AF8" w14:textId="5F9FE354">
            <w:pPr>
              <w:pStyle w:val="PR1"/>
              <w:numPr>
                <w:ilvl w:val="2"/>
                <w:numId w:val="0"/>
              </w:numPr>
            </w:pPr>
            <w:r>
              <w:t>VOC content less than or equal to the thresholds provided by the SCAQMD Rule 1168</w:t>
            </w:r>
          </w:p>
        </w:tc>
      </w:tr>
      <w:tr w:rsidR="00DE3591" w:rsidTr="00DE3591" w14:paraId="03F924A1" w14:textId="77777777">
        <w:trPr>
          <w:trHeight w:val="1848"/>
          <w:jc w:val="center"/>
        </w:trPr>
        <w:tc>
          <w:tcPr>
            <w:tcW w:w="1492" w:type="dxa"/>
            <w:vMerge/>
          </w:tcPr>
          <w:p w:rsidR="00DE3591" w:rsidP="00DE3591" w:rsidRDefault="00DE3591" w14:paraId="4FAC91EE" w14:textId="77777777">
            <w:pPr>
              <w:pStyle w:val="PR1"/>
              <w:numPr>
                <w:ilvl w:val="0"/>
                <w:numId w:val="0"/>
              </w:numPr>
              <w:jc w:val="center"/>
            </w:pPr>
          </w:p>
        </w:tc>
        <w:tc>
          <w:tcPr>
            <w:tcW w:w="1290" w:type="dxa"/>
            <w:vMerge/>
          </w:tcPr>
          <w:p w:rsidR="00DE3591" w:rsidP="00DE3591" w:rsidRDefault="00DE3591" w14:paraId="2A673CD7" w14:textId="77777777">
            <w:pPr>
              <w:pStyle w:val="PR1"/>
              <w:numPr>
                <w:ilvl w:val="0"/>
                <w:numId w:val="0"/>
              </w:numPr>
              <w:jc w:val="center"/>
            </w:pPr>
          </w:p>
        </w:tc>
        <w:tc>
          <w:tcPr>
            <w:tcW w:w="2253" w:type="dxa"/>
            <w:vMerge/>
          </w:tcPr>
          <w:p w:rsidRPr="0094717A" w:rsidR="00DE3591" w:rsidP="00DE3591" w:rsidRDefault="00DE3591" w14:paraId="5595D4BA" w14:textId="77777777">
            <w:pPr>
              <w:pStyle w:val="PR1"/>
              <w:numPr>
                <w:ilvl w:val="2"/>
                <w:numId w:val="0"/>
              </w:numPr>
              <w:rPr>
                <w:b/>
                <w:bCs/>
              </w:rPr>
            </w:pPr>
          </w:p>
        </w:tc>
        <w:tc>
          <w:tcPr>
            <w:tcW w:w="2207" w:type="dxa"/>
            <w:vMerge/>
          </w:tcPr>
          <w:p w:rsidR="00DE3591" w:rsidP="00DE3591" w:rsidRDefault="00DE3591" w14:paraId="700ECE7E" w14:textId="77777777">
            <w:pPr>
              <w:pStyle w:val="PR1"/>
              <w:numPr>
                <w:ilvl w:val="2"/>
                <w:numId w:val="0"/>
              </w:numPr>
            </w:pPr>
          </w:p>
        </w:tc>
        <w:tc>
          <w:tcPr>
            <w:tcW w:w="2203" w:type="dxa"/>
          </w:tcPr>
          <w:p w:rsidR="00DE3591" w:rsidP="00DE3591" w:rsidRDefault="00DE3591" w14:paraId="0CFBE6C9" w14:textId="6B9C96A8">
            <w:pPr>
              <w:pStyle w:val="PR1"/>
              <w:numPr>
                <w:ilvl w:val="0"/>
                <w:numId w:val="0"/>
              </w:numPr>
            </w:pPr>
            <w:r w:rsidRPr="00CE4156">
              <w:t xml:space="preserve">Comply with </w:t>
            </w:r>
            <w:r w:rsidR="00881E55">
              <w:t>CDPH</w:t>
            </w:r>
            <w:r w:rsidRPr="00CE4156">
              <w:t xml:space="preserve"> Standard</w:t>
            </w:r>
          </w:p>
          <w:p w:rsidR="00DE3591" w:rsidP="00DE3591" w:rsidRDefault="00DE3591" w14:paraId="03149956" w14:textId="36D16C7C">
            <w:pPr>
              <w:pStyle w:val="PR1"/>
              <w:numPr>
                <w:ilvl w:val="2"/>
                <w:numId w:val="0"/>
              </w:numPr>
            </w:pPr>
            <w:r>
              <w:t xml:space="preserve">No </w:t>
            </w:r>
            <w:proofErr w:type="spellStart"/>
            <w:r>
              <w:t>orthophthalate</w:t>
            </w:r>
            <w:proofErr w:type="spellEnd"/>
            <w:r>
              <w:t xml:space="preserve"> plasticizers</w:t>
            </w:r>
          </w:p>
        </w:tc>
      </w:tr>
      <w:tr w:rsidR="003A6413" w:rsidTr="00EF43D5" w14:paraId="7B5ADD7B" w14:textId="77777777">
        <w:trPr>
          <w:trHeight w:val="1304"/>
          <w:jc w:val="center"/>
        </w:trPr>
        <w:tc>
          <w:tcPr>
            <w:tcW w:w="1492" w:type="dxa"/>
            <w:vMerge w:val="restart"/>
          </w:tcPr>
          <w:p w:rsidR="003A6413" w:rsidP="00DE3591" w:rsidRDefault="003A6413" w14:paraId="13ED2283" w14:textId="35FE0C40">
            <w:pPr>
              <w:pStyle w:val="PR1"/>
              <w:numPr>
                <w:ilvl w:val="0"/>
                <w:numId w:val="0"/>
              </w:numPr>
              <w:jc w:val="center"/>
            </w:pPr>
            <w:r>
              <w:t>Sealants – Outdoor Use</w:t>
            </w:r>
          </w:p>
        </w:tc>
        <w:tc>
          <w:tcPr>
            <w:tcW w:w="1290" w:type="dxa"/>
            <w:vMerge w:val="restart"/>
          </w:tcPr>
          <w:p w:rsidR="003A6413" w:rsidP="00DE3591" w:rsidRDefault="003A6413" w14:paraId="0B51A9F9" w14:textId="6DC0D683">
            <w:pPr>
              <w:pStyle w:val="PR1"/>
              <w:numPr>
                <w:ilvl w:val="0"/>
                <w:numId w:val="0"/>
              </w:numPr>
              <w:jc w:val="center"/>
            </w:pPr>
            <w:r>
              <w:t>Low</w:t>
            </w:r>
          </w:p>
        </w:tc>
        <w:tc>
          <w:tcPr>
            <w:tcW w:w="2253" w:type="dxa"/>
            <w:vMerge w:val="restart"/>
          </w:tcPr>
          <w:p w:rsidR="003A6413" w:rsidP="00DE3591" w:rsidRDefault="003A6413" w14:paraId="56F279A4" w14:textId="76895279">
            <w:pPr>
              <w:pStyle w:val="PR1"/>
              <w:numPr>
                <w:ilvl w:val="2"/>
                <w:numId w:val="0"/>
              </w:numPr>
            </w:pPr>
            <w:r w:rsidRPr="004F57AE">
              <w:rPr>
                <w:b/>
                <w:bCs/>
              </w:rPr>
              <w:t xml:space="preserve">Polycyclic Aromatic Hydrocarbons (PAHs) </w:t>
            </w:r>
            <w:r>
              <w:t>(</w:t>
            </w:r>
            <w:r w:rsidRPr="0094717A">
              <w:t>cancer as well as heart defects, immune suppression, reduced growth, and reproductive effects</w:t>
            </w:r>
            <w:r>
              <w:t>)</w:t>
            </w:r>
          </w:p>
        </w:tc>
        <w:tc>
          <w:tcPr>
            <w:tcW w:w="2207" w:type="dxa"/>
            <w:vMerge w:val="restart"/>
          </w:tcPr>
          <w:p w:rsidR="003A6413" w:rsidP="00DE3591" w:rsidRDefault="003A6413" w14:paraId="1F4DA38A" w14:textId="53E596D4">
            <w:pPr>
              <w:pStyle w:val="PR1"/>
              <w:numPr>
                <w:ilvl w:val="2"/>
                <w:numId w:val="0"/>
              </w:numPr>
            </w:pPr>
            <w:r>
              <w:t>Specify pre-compressed polyurethane joint seal, phthalate-free acrylic and latex sealants</w:t>
            </w:r>
          </w:p>
        </w:tc>
        <w:tc>
          <w:tcPr>
            <w:tcW w:w="2203" w:type="dxa"/>
          </w:tcPr>
          <w:p w:rsidR="003A6413" w:rsidP="00DE3591" w:rsidRDefault="003A6413" w14:paraId="2F316DA8" w14:textId="46FE8ABD">
            <w:pPr>
              <w:pStyle w:val="PR1"/>
              <w:numPr>
                <w:ilvl w:val="2"/>
                <w:numId w:val="0"/>
              </w:numPr>
            </w:pPr>
            <w:r>
              <w:t>Phthalate-free and no PVC/Vinyl</w:t>
            </w:r>
          </w:p>
        </w:tc>
      </w:tr>
      <w:tr w:rsidR="003A6413" w:rsidTr="00EF43D5" w14:paraId="3CC1B512" w14:textId="77777777">
        <w:trPr>
          <w:trHeight w:val="449"/>
          <w:jc w:val="center"/>
        </w:trPr>
        <w:tc>
          <w:tcPr>
            <w:tcW w:w="1492" w:type="dxa"/>
            <w:vMerge/>
          </w:tcPr>
          <w:p w:rsidR="003A6413" w:rsidP="00DE3591" w:rsidRDefault="003A6413" w14:paraId="2A6A8426" w14:textId="77777777">
            <w:pPr>
              <w:pStyle w:val="PR1"/>
              <w:numPr>
                <w:ilvl w:val="0"/>
                <w:numId w:val="0"/>
              </w:numPr>
              <w:jc w:val="center"/>
            </w:pPr>
          </w:p>
        </w:tc>
        <w:tc>
          <w:tcPr>
            <w:tcW w:w="1290" w:type="dxa"/>
            <w:vMerge/>
          </w:tcPr>
          <w:p w:rsidR="003A6413" w:rsidP="00DE3591" w:rsidRDefault="003A6413" w14:paraId="535C6186" w14:textId="77777777">
            <w:pPr>
              <w:pStyle w:val="PR1"/>
              <w:numPr>
                <w:ilvl w:val="0"/>
                <w:numId w:val="0"/>
              </w:numPr>
              <w:jc w:val="center"/>
            </w:pPr>
          </w:p>
        </w:tc>
        <w:tc>
          <w:tcPr>
            <w:tcW w:w="2253" w:type="dxa"/>
            <w:vMerge/>
          </w:tcPr>
          <w:p w:rsidRPr="004F57AE" w:rsidR="003A6413" w:rsidP="00DE3591" w:rsidRDefault="003A6413" w14:paraId="1A16229B" w14:textId="77777777">
            <w:pPr>
              <w:pStyle w:val="PR1"/>
              <w:numPr>
                <w:ilvl w:val="2"/>
                <w:numId w:val="0"/>
              </w:numPr>
              <w:rPr>
                <w:b/>
                <w:bCs/>
              </w:rPr>
            </w:pPr>
          </w:p>
        </w:tc>
        <w:tc>
          <w:tcPr>
            <w:tcW w:w="2207" w:type="dxa"/>
            <w:vMerge/>
          </w:tcPr>
          <w:p w:rsidR="003A6413" w:rsidP="00DE3591" w:rsidRDefault="003A6413" w14:paraId="5E3A4E60" w14:textId="77777777">
            <w:pPr>
              <w:pStyle w:val="PR1"/>
              <w:numPr>
                <w:ilvl w:val="2"/>
                <w:numId w:val="0"/>
              </w:numPr>
            </w:pPr>
          </w:p>
        </w:tc>
        <w:tc>
          <w:tcPr>
            <w:tcW w:w="2203" w:type="dxa"/>
          </w:tcPr>
          <w:p w:rsidR="003A6413" w:rsidP="00DE3591" w:rsidRDefault="003A6413" w14:paraId="7DDDB04F" w14:textId="27DD34D2">
            <w:pPr>
              <w:pStyle w:val="PR1"/>
              <w:numPr>
                <w:ilvl w:val="2"/>
                <w:numId w:val="0"/>
              </w:numPr>
            </w:pPr>
            <w:r>
              <w:t>N/A</w:t>
            </w:r>
          </w:p>
        </w:tc>
      </w:tr>
      <w:tr w:rsidR="00DE3591" w:rsidTr="00EF43D5" w14:paraId="694B9B14" w14:textId="77777777">
        <w:trPr>
          <w:trHeight w:val="810"/>
          <w:jc w:val="center"/>
        </w:trPr>
        <w:tc>
          <w:tcPr>
            <w:tcW w:w="1492" w:type="dxa"/>
          </w:tcPr>
          <w:p w:rsidR="00DE3591" w:rsidP="00DE3591" w:rsidRDefault="00DE3591" w14:paraId="65B90849" w14:textId="16DDD721">
            <w:pPr>
              <w:pStyle w:val="PR1"/>
              <w:numPr>
                <w:ilvl w:val="0"/>
                <w:numId w:val="0"/>
              </w:numPr>
              <w:jc w:val="center"/>
            </w:pPr>
            <w:r>
              <w:t>Windows made with PVC</w:t>
            </w:r>
          </w:p>
        </w:tc>
        <w:tc>
          <w:tcPr>
            <w:tcW w:w="1290" w:type="dxa"/>
          </w:tcPr>
          <w:p w:rsidR="00DE3591" w:rsidP="00DE3591" w:rsidRDefault="00DE3591" w14:paraId="067FB6B5" w14:textId="04F8E7F6">
            <w:pPr>
              <w:pStyle w:val="PR1"/>
              <w:numPr>
                <w:ilvl w:val="0"/>
                <w:numId w:val="0"/>
              </w:numPr>
              <w:jc w:val="center"/>
            </w:pPr>
            <w:r>
              <w:t>Medium</w:t>
            </w:r>
          </w:p>
        </w:tc>
        <w:tc>
          <w:tcPr>
            <w:tcW w:w="2253" w:type="dxa"/>
          </w:tcPr>
          <w:p w:rsidR="00DE3591" w:rsidP="00DE3591" w:rsidRDefault="00DE3591" w14:paraId="6C90FD97" w14:textId="1BBF3ED7">
            <w:pPr>
              <w:pStyle w:val="PR1"/>
              <w:numPr>
                <w:ilvl w:val="2"/>
                <w:numId w:val="0"/>
              </w:numPr>
            </w:pPr>
            <w:r w:rsidRPr="009A03AC">
              <w:rPr>
                <w:b/>
                <w:bCs/>
              </w:rPr>
              <w:t>PVC</w:t>
            </w:r>
          </w:p>
        </w:tc>
        <w:tc>
          <w:tcPr>
            <w:tcW w:w="2207" w:type="dxa"/>
          </w:tcPr>
          <w:p w:rsidR="00DE3591" w:rsidP="00DE3591" w:rsidRDefault="00DE3591" w14:paraId="1AA630BC" w14:textId="7AE1FDB9">
            <w:pPr>
              <w:pStyle w:val="PR1"/>
              <w:numPr>
                <w:ilvl w:val="2"/>
                <w:numId w:val="0"/>
              </w:numPr>
            </w:pPr>
            <w:r>
              <w:t>Specify non-vinyl windows</w:t>
            </w:r>
          </w:p>
        </w:tc>
        <w:tc>
          <w:tcPr>
            <w:tcW w:w="2203" w:type="dxa"/>
            <w:shd w:val="clear" w:color="auto" w:fill="E7E6E6" w:themeFill="background2"/>
          </w:tcPr>
          <w:p w:rsidR="00DE3591" w:rsidP="00DE3591" w:rsidRDefault="003A6413" w14:paraId="115D80C5" w14:textId="74279BA7">
            <w:pPr>
              <w:pStyle w:val="PR1"/>
              <w:numPr>
                <w:ilvl w:val="2"/>
                <w:numId w:val="0"/>
              </w:numPr>
            </w:pPr>
            <w:r>
              <w:t>Not addressed in ESDS</w:t>
            </w:r>
          </w:p>
        </w:tc>
      </w:tr>
      <w:tr w:rsidR="00DE3591" w:rsidTr="00EF43D5" w14:paraId="391C0FB3" w14:textId="77777777">
        <w:trPr>
          <w:trHeight w:val="710"/>
          <w:jc w:val="center"/>
        </w:trPr>
        <w:tc>
          <w:tcPr>
            <w:tcW w:w="1492" w:type="dxa"/>
          </w:tcPr>
          <w:p w:rsidR="00DE3591" w:rsidP="00DE3591" w:rsidRDefault="00DE3591" w14:paraId="0B3089D8" w14:textId="3A0E5B70">
            <w:pPr>
              <w:pStyle w:val="PR1"/>
              <w:numPr>
                <w:ilvl w:val="0"/>
                <w:numId w:val="0"/>
              </w:numPr>
              <w:jc w:val="center"/>
            </w:pPr>
            <w:r>
              <w:t>Doors made with PVC</w:t>
            </w:r>
          </w:p>
        </w:tc>
        <w:tc>
          <w:tcPr>
            <w:tcW w:w="1290" w:type="dxa"/>
          </w:tcPr>
          <w:p w:rsidR="00DE3591" w:rsidP="00DE3591" w:rsidRDefault="00DE3591" w14:paraId="6024CAA8" w14:textId="00E897BD">
            <w:pPr>
              <w:pStyle w:val="PR1"/>
              <w:numPr>
                <w:ilvl w:val="0"/>
                <w:numId w:val="0"/>
              </w:numPr>
              <w:jc w:val="center"/>
            </w:pPr>
            <w:r>
              <w:t>Medium</w:t>
            </w:r>
          </w:p>
        </w:tc>
        <w:tc>
          <w:tcPr>
            <w:tcW w:w="2253" w:type="dxa"/>
          </w:tcPr>
          <w:p w:rsidR="00DE3591" w:rsidP="00DE3591" w:rsidRDefault="00DE3591" w14:paraId="7E7F68CB" w14:textId="1DB899A9">
            <w:pPr>
              <w:pStyle w:val="PR1"/>
              <w:numPr>
                <w:ilvl w:val="2"/>
                <w:numId w:val="0"/>
              </w:numPr>
            </w:pPr>
            <w:r>
              <w:rPr>
                <w:b/>
                <w:bCs/>
              </w:rPr>
              <w:t>PVC</w:t>
            </w:r>
          </w:p>
        </w:tc>
        <w:tc>
          <w:tcPr>
            <w:tcW w:w="2207" w:type="dxa"/>
          </w:tcPr>
          <w:p w:rsidR="00DE3591" w:rsidP="00DE3591" w:rsidRDefault="00DE3591" w14:paraId="236D5EB0" w14:textId="0DDCBAAB">
            <w:pPr>
              <w:pStyle w:val="PR1"/>
              <w:numPr>
                <w:ilvl w:val="2"/>
                <w:numId w:val="0"/>
              </w:numPr>
            </w:pPr>
            <w:r>
              <w:t>Specify non-vinyl doors</w:t>
            </w:r>
          </w:p>
        </w:tc>
        <w:tc>
          <w:tcPr>
            <w:tcW w:w="2203" w:type="dxa"/>
            <w:shd w:val="clear" w:color="auto" w:fill="E7E6E6" w:themeFill="background2"/>
          </w:tcPr>
          <w:p w:rsidR="00DE3591" w:rsidP="00DE3591" w:rsidRDefault="003A6413" w14:paraId="78E424CF" w14:textId="2E8B45D6">
            <w:pPr>
              <w:pStyle w:val="PR1"/>
              <w:numPr>
                <w:ilvl w:val="2"/>
                <w:numId w:val="0"/>
              </w:numPr>
            </w:pPr>
            <w:r>
              <w:t>Not addressed in ESDS</w:t>
            </w:r>
          </w:p>
        </w:tc>
      </w:tr>
      <w:tr w:rsidR="00DE3591" w:rsidTr="00DE3591" w14:paraId="0AB6922B" w14:textId="77777777">
        <w:trPr>
          <w:trHeight w:val="1212"/>
          <w:jc w:val="center"/>
        </w:trPr>
        <w:tc>
          <w:tcPr>
            <w:tcW w:w="1492" w:type="dxa"/>
            <w:vMerge w:val="restart"/>
          </w:tcPr>
          <w:p w:rsidR="00DE3591" w:rsidP="00DE3591" w:rsidRDefault="00DE3591" w14:paraId="04931827" w14:textId="3D1EBF20">
            <w:pPr>
              <w:pStyle w:val="PR1"/>
              <w:numPr>
                <w:ilvl w:val="0"/>
                <w:numId w:val="0"/>
              </w:numPr>
              <w:jc w:val="center"/>
            </w:pPr>
            <w:r>
              <w:t>Flooring made with PVC (Resilient sheet and tile, and Linoleum)</w:t>
            </w:r>
          </w:p>
        </w:tc>
        <w:tc>
          <w:tcPr>
            <w:tcW w:w="1290" w:type="dxa"/>
            <w:vMerge w:val="restart"/>
          </w:tcPr>
          <w:p w:rsidR="00DE3591" w:rsidP="00DE3591" w:rsidRDefault="00DE3591" w14:paraId="1A1246A5" w14:textId="5BEA4831">
            <w:pPr>
              <w:pStyle w:val="PR1"/>
              <w:numPr>
                <w:ilvl w:val="0"/>
                <w:numId w:val="0"/>
              </w:numPr>
              <w:jc w:val="center"/>
            </w:pPr>
            <w:r>
              <w:t>Low</w:t>
            </w:r>
          </w:p>
        </w:tc>
        <w:tc>
          <w:tcPr>
            <w:tcW w:w="2253" w:type="dxa"/>
            <w:vMerge w:val="restart"/>
          </w:tcPr>
          <w:p w:rsidR="00DE3591" w:rsidP="00DE3591" w:rsidRDefault="00DE3591" w14:paraId="4A2CDD71" w14:textId="176800A9">
            <w:pPr>
              <w:pStyle w:val="PR1"/>
              <w:numPr>
                <w:ilvl w:val="2"/>
                <w:numId w:val="0"/>
              </w:numPr>
            </w:pPr>
            <w:r>
              <w:rPr>
                <w:b/>
                <w:bCs/>
              </w:rPr>
              <w:t xml:space="preserve">PVC, </w:t>
            </w:r>
            <w:proofErr w:type="spellStart"/>
            <w:r>
              <w:rPr>
                <w:b/>
                <w:bCs/>
              </w:rPr>
              <w:t>Orthop</w:t>
            </w:r>
            <w:r w:rsidRPr="004F57AE">
              <w:rPr>
                <w:b/>
                <w:bCs/>
              </w:rPr>
              <w:t>hthalates</w:t>
            </w:r>
            <w:proofErr w:type="spellEnd"/>
          </w:p>
        </w:tc>
        <w:tc>
          <w:tcPr>
            <w:tcW w:w="2207" w:type="dxa"/>
            <w:vMerge w:val="restart"/>
          </w:tcPr>
          <w:p w:rsidRPr="00651B16" w:rsidR="00DE3591" w:rsidP="00DE3591" w:rsidRDefault="00DE3591" w14:paraId="592E7E9D" w14:textId="51AE7099">
            <w:pPr>
              <w:pStyle w:val="PR1"/>
              <w:ind w:left="0"/>
            </w:pPr>
            <w:r>
              <w:t>Specify non-vinyl flooring</w:t>
            </w:r>
          </w:p>
        </w:tc>
        <w:tc>
          <w:tcPr>
            <w:tcW w:w="2203" w:type="dxa"/>
          </w:tcPr>
          <w:p w:rsidR="00DE3591" w:rsidP="00DE3591" w:rsidRDefault="00DE3591" w14:paraId="78606763" w14:textId="2581CB65">
            <w:pPr>
              <w:pStyle w:val="PR1"/>
              <w:numPr>
                <w:ilvl w:val="0"/>
                <w:numId w:val="0"/>
              </w:numPr>
            </w:pPr>
            <w:r w:rsidRPr="00651B16">
              <w:t xml:space="preserve">Comply with </w:t>
            </w:r>
            <w:r w:rsidR="00881E55">
              <w:t>CDPH</w:t>
            </w:r>
            <w:r w:rsidRPr="00651B16">
              <w:t xml:space="preserve"> Standard</w:t>
            </w:r>
          </w:p>
          <w:p w:rsidR="00DE3591" w:rsidP="00DE3591" w:rsidRDefault="00DE3591" w14:paraId="3638060D" w14:textId="0664C290">
            <w:pPr>
              <w:pStyle w:val="PR1"/>
              <w:numPr>
                <w:ilvl w:val="2"/>
                <w:numId w:val="0"/>
              </w:numPr>
            </w:pPr>
            <w:r>
              <w:t>CRI-Green Label Plus</w:t>
            </w:r>
          </w:p>
        </w:tc>
      </w:tr>
      <w:tr w:rsidR="00DE3591" w:rsidTr="00DE3591" w14:paraId="1DF66533" w14:textId="77777777">
        <w:trPr>
          <w:trHeight w:val="1212"/>
          <w:jc w:val="center"/>
        </w:trPr>
        <w:tc>
          <w:tcPr>
            <w:tcW w:w="1492" w:type="dxa"/>
            <w:vMerge/>
          </w:tcPr>
          <w:p w:rsidR="00DE3591" w:rsidP="00DE3591" w:rsidRDefault="00DE3591" w14:paraId="10A24696" w14:textId="77777777">
            <w:pPr>
              <w:pStyle w:val="PR1"/>
              <w:numPr>
                <w:ilvl w:val="0"/>
                <w:numId w:val="0"/>
              </w:numPr>
              <w:jc w:val="center"/>
            </w:pPr>
          </w:p>
        </w:tc>
        <w:tc>
          <w:tcPr>
            <w:tcW w:w="1290" w:type="dxa"/>
            <w:vMerge/>
          </w:tcPr>
          <w:p w:rsidR="00DE3591" w:rsidP="00DE3591" w:rsidRDefault="00DE3591" w14:paraId="3C7A9D18" w14:textId="77777777">
            <w:pPr>
              <w:pStyle w:val="PR1"/>
              <w:numPr>
                <w:ilvl w:val="0"/>
                <w:numId w:val="0"/>
              </w:numPr>
              <w:jc w:val="center"/>
            </w:pPr>
          </w:p>
        </w:tc>
        <w:tc>
          <w:tcPr>
            <w:tcW w:w="2253" w:type="dxa"/>
            <w:vMerge/>
          </w:tcPr>
          <w:p w:rsidR="00DE3591" w:rsidP="00DE3591" w:rsidRDefault="00DE3591" w14:paraId="46E968D3" w14:textId="77777777">
            <w:pPr>
              <w:pStyle w:val="PR1"/>
              <w:numPr>
                <w:ilvl w:val="2"/>
                <w:numId w:val="0"/>
              </w:numPr>
              <w:rPr>
                <w:b/>
                <w:bCs/>
              </w:rPr>
            </w:pPr>
          </w:p>
        </w:tc>
        <w:tc>
          <w:tcPr>
            <w:tcW w:w="2207" w:type="dxa"/>
            <w:vMerge/>
          </w:tcPr>
          <w:p w:rsidR="00DE3591" w:rsidP="00DE3591" w:rsidRDefault="00DE3591" w14:paraId="03674EF5" w14:textId="77777777">
            <w:pPr>
              <w:pStyle w:val="PR1"/>
              <w:ind w:left="0"/>
            </w:pPr>
          </w:p>
        </w:tc>
        <w:tc>
          <w:tcPr>
            <w:tcW w:w="2203" w:type="dxa"/>
          </w:tcPr>
          <w:p w:rsidR="00DE3591" w:rsidP="00DE3591" w:rsidRDefault="00DE3591" w14:paraId="22259057" w14:textId="77777777">
            <w:pPr>
              <w:pStyle w:val="PR1"/>
              <w:numPr>
                <w:ilvl w:val="0"/>
                <w:numId w:val="0"/>
              </w:numPr>
            </w:pPr>
            <w:r>
              <w:t xml:space="preserve">No vinyl </w:t>
            </w:r>
            <w:proofErr w:type="gramStart"/>
            <w:r>
              <w:t>flooring</w:t>
            </w:r>
            <w:proofErr w:type="gramEnd"/>
          </w:p>
          <w:p w:rsidRPr="00651B16" w:rsidR="00DE3591" w:rsidP="00DE3591" w:rsidRDefault="00DE3591" w14:paraId="2D4CBA7D" w14:textId="161F2549">
            <w:pPr>
              <w:pStyle w:val="PR1"/>
              <w:numPr>
                <w:ilvl w:val="0"/>
                <w:numId w:val="0"/>
              </w:numPr>
            </w:pPr>
            <w:r>
              <w:t>All flooring assemblies are Red List-free</w:t>
            </w:r>
          </w:p>
        </w:tc>
      </w:tr>
      <w:tr w:rsidR="00DE3591" w:rsidTr="00DE3591" w14:paraId="2DFBCFC0" w14:textId="77777777">
        <w:trPr>
          <w:trHeight w:val="1566"/>
          <w:jc w:val="center"/>
        </w:trPr>
        <w:tc>
          <w:tcPr>
            <w:tcW w:w="1492" w:type="dxa"/>
            <w:vMerge w:val="restart"/>
          </w:tcPr>
          <w:p w:rsidR="00DE3591" w:rsidP="00DE3591" w:rsidRDefault="00DE3591" w14:paraId="560F1C93" w14:textId="52DA69DC">
            <w:pPr>
              <w:pStyle w:val="PR1"/>
              <w:numPr>
                <w:ilvl w:val="0"/>
                <w:numId w:val="0"/>
              </w:numPr>
              <w:jc w:val="center"/>
            </w:pPr>
            <w:r>
              <w:t>Carpet</w:t>
            </w:r>
          </w:p>
        </w:tc>
        <w:tc>
          <w:tcPr>
            <w:tcW w:w="1290" w:type="dxa"/>
            <w:vMerge w:val="restart"/>
          </w:tcPr>
          <w:p w:rsidR="00DE3591" w:rsidP="00DE3591" w:rsidRDefault="00DE3591" w14:paraId="1CC815DC" w14:textId="11AA6840">
            <w:pPr>
              <w:pStyle w:val="PR1"/>
              <w:numPr>
                <w:ilvl w:val="0"/>
                <w:numId w:val="0"/>
              </w:numPr>
              <w:jc w:val="center"/>
            </w:pPr>
            <w:r>
              <w:t>Low</w:t>
            </w:r>
          </w:p>
        </w:tc>
        <w:tc>
          <w:tcPr>
            <w:tcW w:w="2253" w:type="dxa"/>
            <w:vMerge w:val="restart"/>
          </w:tcPr>
          <w:p w:rsidR="00DE3591" w:rsidP="00DE3591" w:rsidRDefault="00DE3591" w14:paraId="42FB6653" w14:textId="1B57C803">
            <w:pPr>
              <w:pStyle w:val="PR1"/>
              <w:numPr>
                <w:ilvl w:val="2"/>
                <w:numId w:val="0"/>
              </w:numPr>
            </w:pPr>
            <w:proofErr w:type="spellStart"/>
            <w:r>
              <w:rPr>
                <w:b/>
                <w:bCs/>
              </w:rPr>
              <w:t>Orthop</w:t>
            </w:r>
            <w:r w:rsidRPr="004F57AE">
              <w:rPr>
                <w:b/>
                <w:bCs/>
              </w:rPr>
              <w:t>hthalates</w:t>
            </w:r>
            <w:proofErr w:type="spellEnd"/>
            <w:r>
              <w:rPr>
                <w:b/>
                <w:bCs/>
              </w:rPr>
              <w:t xml:space="preserve">, PVC, PFAS </w:t>
            </w:r>
            <w:r>
              <w:t>(</w:t>
            </w:r>
            <w:r w:rsidRPr="00A232FE">
              <w:t>“forever chemicals” with significant life cycle conc</w:t>
            </w:r>
            <w:r>
              <w:t xml:space="preserve">erns and a range of health hazards), </w:t>
            </w:r>
            <w:r>
              <w:rPr>
                <w:b/>
                <w:bCs/>
              </w:rPr>
              <w:t xml:space="preserve">Heavy metals </w:t>
            </w:r>
            <w:r>
              <w:t>(can be found in fly ash)</w:t>
            </w:r>
          </w:p>
        </w:tc>
        <w:tc>
          <w:tcPr>
            <w:tcW w:w="2207" w:type="dxa"/>
            <w:vMerge w:val="restart"/>
          </w:tcPr>
          <w:p w:rsidRPr="00657C25" w:rsidR="00DE3591" w:rsidP="00DE3591" w:rsidRDefault="00DE3591" w14:paraId="44AE0F0A" w14:textId="3DAC499B">
            <w:pPr>
              <w:pStyle w:val="PR1"/>
              <w:ind w:left="0"/>
            </w:pPr>
            <w:r>
              <w:t>Specify products without vinyl</w:t>
            </w:r>
            <w:r w:rsidR="00CB7636">
              <w:t xml:space="preserve"> or polyurethane</w:t>
            </w:r>
            <w:r>
              <w:t xml:space="preserve"> backing</w:t>
            </w:r>
          </w:p>
        </w:tc>
        <w:tc>
          <w:tcPr>
            <w:tcW w:w="2203" w:type="dxa"/>
          </w:tcPr>
          <w:p w:rsidR="00DE3591" w:rsidP="00DE3591" w:rsidRDefault="00DE3591" w14:paraId="3FEC8E09" w14:textId="77777777">
            <w:pPr>
              <w:pStyle w:val="PR1"/>
              <w:numPr>
                <w:ilvl w:val="0"/>
                <w:numId w:val="0"/>
              </w:numPr>
            </w:pPr>
            <w:r w:rsidRPr="00657C25">
              <w:t>No carpet within 3 feet of building entrance</w:t>
            </w:r>
          </w:p>
          <w:p w:rsidR="00DE3591" w:rsidP="00DE3591" w:rsidRDefault="00DE3591" w14:paraId="419149FB" w14:textId="5BD9B17E">
            <w:pPr>
              <w:pStyle w:val="PR1"/>
              <w:numPr>
                <w:ilvl w:val="2"/>
                <w:numId w:val="0"/>
              </w:numPr>
            </w:pPr>
            <w:r>
              <w:t>No carpet on slab-on-grade</w:t>
            </w:r>
          </w:p>
        </w:tc>
      </w:tr>
      <w:tr w:rsidR="00DE3591" w:rsidTr="003A6413" w14:paraId="4BE34239" w14:textId="77777777">
        <w:trPr>
          <w:trHeight w:val="557"/>
          <w:jc w:val="center"/>
        </w:trPr>
        <w:tc>
          <w:tcPr>
            <w:tcW w:w="1492" w:type="dxa"/>
            <w:vMerge/>
          </w:tcPr>
          <w:p w:rsidR="00DE3591" w:rsidP="00DE3591" w:rsidRDefault="00DE3591" w14:paraId="4D5A3838" w14:textId="77777777">
            <w:pPr>
              <w:pStyle w:val="PR1"/>
              <w:numPr>
                <w:ilvl w:val="0"/>
                <w:numId w:val="0"/>
              </w:numPr>
              <w:jc w:val="center"/>
            </w:pPr>
          </w:p>
        </w:tc>
        <w:tc>
          <w:tcPr>
            <w:tcW w:w="1290" w:type="dxa"/>
            <w:vMerge/>
          </w:tcPr>
          <w:p w:rsidR="00DE3591" w:rsidP="00DE3591" w:rsidRDefault="00DE3591" w14:paraId="192B9E6D" w14:textId="77777777">
            <w:pPr>
              <w:pStyle w:val="PR1"/>
              <w:numPr>
                <w:ilvl w:val="0"/>
                <w:numId w:val="0"/>
              </w:numPr>
              <w:jc w:val="center"/>
            </w:pPr>
          </w:p>
        </w:tc>
        <w:tc>
          <w:tcPr>
            <w:tcW w:w="2253" w:type="dxa"/>
            <w:vMerge/>
          </w:tcPr>
          <w:p w:rsidR="00DE3591" w:rsidP="00DE3591" w:rsidRDefault="00DE3591" w14:paraId="39698C85" w14:textId="77777777">
            <w:pPr>
              <w:pStyle w:val="PR1"/>
              <w:numPr>
                <w:ilvl w:val="2"/>
                <w:numId w:val="0"/>
              </w:numPr>
              <w:rPr>
                <w:b/>
                <w:bCs/>
              </w:rPr>
            </w:pPr>
          </w:p>
        </w:tc>
        <w:tc>
          <w:tcPr>
            <w:tcW w:w="2207" w:type="dxa"/>
            <w:vMerge/>
          </w:tcPr>
          <w:p w:rsidR="00DE3591" w:rsidP="00DE3591" w:rsidRDefault="00DE3591" w14:paraId="2140AAC0" w14:textId="77777777">
            <w:pPr>
              <w:pStyle w:val="PR1"/>
              <w:ind w:left="0"/>
            </w:pPr>
          </w:p>
        </w:tc>
        <w:tc>
          <w:tcPr>
            <w:tcW w:w="2203" w:type="dxa"/>
          </w:tcPr>
          <w:p w:rsidRPr="00657C25" w:rsidR="00DE3591" w:rsidP="00DE3591" w:rsidRDefault="00DE3591" w14:paraId="48E358D2" w14:textId="1C5361C9">
            <w:pPr>
              <w:pStyle w:val="PR1"/>
              <w:numPr>
                <w:ilvl w:val="0"/>
                <w:numId w:val="0"/>
              </w:numPr>
            </w:pPr>
            <w:r>
              <w:t>No carpet</w:t>
            </w:r>
          </w:p>
        </w:tc>
      </w:tr>
      <w:tr w:rsidR="00DE3591" w:rsidTr="00EF43D5" w14:paraId="1FC72EC9" w14:textId="77777777">
        <w:trPr>
          <w:trHeight w:val="980"/>
          <w:jc w:val="center"/>
        </w:trPr>
        <w:tc>
          <w:tcPr>
            <w:tcW w:w="1492" w:type="dxa"/>
          </w:tcPr>
          <w:p w:rsidR="00DE3591" w:rsidP="00DE3591" w:rsidRDefault="00DE3591" w14:paraId="0F2F1FAD" w14:textId="0300B401">
            <w:pPr>
              <w:pStyle w:val="PR1"/>
              <w:numPr>
                <w:ilvl w:val="0"/>
                <w:numId w:val="0"/>
              </w:numPr>
              <w:jc w:val="center"/>
            </w:pPr>
            <w:r>
              <w:lastRenderedPageBreak/>
              <w:t>Wall Coverings</w:t>
            </w:r>
          </w:p>
        </w:tc>
        <w:tc>
          <w:tcPr>
            <w:tcW w:w="1290" w:type="dxa"/>
          </w:tcPr>
          <w:p w:rsidR="00DE3591" w:rsidP="00DE3591" w:rsidRDefault="00DE3591" w14:paraId="1DDEF203" w14:textId="6C59EEC5">
            <w:pPr>
              <w:pStyle w:val="PR1"/>
              <w:numPr>
                <w:ilvl w:val="0"/>
                <w:numId w:val="0"/>
              </w:numPr>
              <w:jc w:val="center"/>
            </w:pPr>
            <w:r>
              <w:t>Low</w:t>
            </w:r>
          </w:p>
        </w:tc>
        <w:tc>
          <w:tcPr>
            <w:tcW w:w="2253" w:type="dxa"/>
          </w:tcPr>
          <w:p w:rsidR="00DE3591" w:rsidP="00DE3591" w:rsidRDefault="00DE3591" w14:paraId="0CF71F7B" w14:textId="04FAD7A7">
            <w:pPr>
              <w:pStyle w:val="PR1"/>
              <w:numPr>
                <w:ilvl w:val="2"/>
                <w:numId w:val="0"/>
              </w:numPr>
            </w:pPr>
            <w:proofErr w:type="spellStart"/>
            <w:r>
              <w:rPr>
                <w:b/>
                <w:bCs/>
              </w:rPr>
              <w:t>Orthop</w:t>
            </w:r>
            <w:r w:rsidRPr="004F57AE">
              <w:rPr>
                <w:b/>
                <w:bCs/>
              </w:rPr>
              <w:t>hthalates</w:t>
            </w:r>
            <w:proofErr w:type="spellEnd"/>
            <w:r>
              <w:rPr>
                <w:b/>
                <w:bCs/>
              </w:rPr>
              <w:t>,</w:t>
            </w:r>
            <w:r>
              <w:t xml:space="preserve"> </w:t>
            </w:r>
            <w:r w:rsidRPr="004F57AE">
              <w:rPr>
                <w:b/>
                <w:bCs/>
              </w:rPr>
              <w:t>VOC</w:t>
            </w:r>
            <w:r>
              <w:rPr>
                <w:b/>
                <w:bCs/>
              </w:rPr>
              <w:t>s</w:t>
            </w:r>
          </w:p>
        </w:tc>
        <w:tc>
          <w:tcPr>
            <w:tcW w:w="2207" w:type="dxa"/>
          </w:tcPr>
          <w:p w:rsidRPr="003409DE" w:rsidR="00DE3591" w:rsidP="00DE3591" w:rsidRDefault="00DE3591" w14:paraId="11B818D9" w14:textId="757DFBC5">
            <w:pPr>
              <w:pStyle w:val="PR1"/>
              <w:ind w:left="0"/>
            </w:pPr>
            <w:r>
              <w:t xml:space="preserve">Do not use vinyl and choose wall coverings low in </w:t>
            </w:r>
            <w:r w:rsidR="00605E6B">
              <w:t>VOC</w:t>
            </w:r>
          </w:p>
        </w:tc>
        <w:tc>
          <w:tcPr>
            <w:tcW w:w="2203" w:type="dxa"/>
            <w:shd w:val="clear" w:color="auto" w:fill="E7E6E6" w:themeFill="background2"/>
          </w:tcPr>
          <w:p w:rsidRPr="003409DE" w:rsidR="00DE3591" w:rsidP="00DE3591" w:rsidRDefault="003A6413" w14:paraId="7F7F629C" w14:textId="3002F96F">
            <w:pPr>
              <w:pStyle w:val="PR1"/>
              <w:numPr>
                <w:ilvl w:val="0"/>
                <w:numId w:val="0"/>
              </w:numPr>
            </w:pPr>
            <w:r>
              <w:t>Not addressed in ESDS</w:t>
            </w:r>
          </w:p>
        </w:tc>
      </w:tr>
      <w:tr w:rsidR="00DE3591" w:rsidTr="00EF43D5" w14:paraId="6AF014C8" w14:textId="77777777">
        <w:trPr>
          <w:trHeight w:val="1619"/>
          <w:jc w:val="center"/>
        </w:trPr>
        <w:tc>
          <w:tcPr>
            <w:tcW w:w="1492" w:type="dxa"/>
            <w:vMerge w:val="restart"/>
          </w:tcPr>
          <w:p w:rsidR="00DE3591" w:rsidP="00DE3591" w:rsidRDefault="00DE3591" w14:paraId="305DCDCB" w14:textId="029746A6">
            <w:pPr>
              <w:pStyle w:val="PR1"/>
              <w:numPr>
                <w:ilvl w:val="0"/>
                <w:numId w:val="0"/>
              </w:numPr>
              <w:jc w:val="center"/>
            </w:pPr>
            <w:r>
              <w:t>Paint</w:t>
            </w:r>
          </w:p>
        </w:tc>
        <w:tc>
          <w:tcPr>
            <w:tcW w:w="1290" w:type="dxa"/>
            <w:vMerge w:val="restart"/>
          </w:tcPr>
          <w:p w:rsidR="00DE3591" w:rsidP="00DE3591" w:rsidRDefault="00DE3591" w14:paraId="19ACC4CF" w14:textId="5145DC07">
            <w:pPr>
              <w:pStyle w:val="PR1"/>
              <w:numPr>
                <w:ilvl w:val="0"/>
                <w:numId w:val="0"/>
              </w:numPr>
              <w:jc w:val="center"/>
            </w:pPr>
            <w:r>
              <w:t>Low</w:t>
            </w:r>
          </w:p>
        </w:tc>
        <w:tc>
          <w:tcPr>
            <w:tcW w:w="2253" w:type="dxa"/>
            <w:vMerge w:val="restart"/>
          </w:tcPr>
          <w:p w:rsidR="00DE3591" w:rsidP="00DE3591" w:rsidRDefault="00DE3591" w14:paraId="1406E76F" w14:textId="3189F69C">
            <w:pPr>
              <w:pStyle w:val="PR1"/>
              <w:numPr>
                <w:ilvl w:val="2"/>
                <w:numId w:val="0"/>
              </w:numPr>
            </w:pPr>
            <w:r w:rsidRPr="00C560D3">
              <w:rPr>
                <w:b/>
                <w:bCs/>
              </w:rPr>
              <w:t>APEs</w:t>
            </w:r>
            <w:r>
              <w:t xml:space="preserve"> (alkylphenol ethoxylates) are hormone disruptors, </w:t>
            </w:r>
            <w:r w:rsidRPr="00C560D3">
              <w:rPr>
                <w:b/>
                <w:bCs/>
              </w:rPr>
              <w:t>VOC</w:t>
            </w:r>
            <w:r>
              <w:rPr>
                <w:b/>
                <w:bCs/>
              </w:rPr>
              <w:t>s</w:t>
            </w:r>
            <w:r>
              <w:t xml:space="preserve">  </w:t>
            </w:r>
          </w:p>
        </w:tc>
        <w:tc>
          <w:tcPr>
            <w:tcW w:w="2207" w:type="dxa"/>
            <w:vMerge w:val="restart"/>
          </w:tcPr>
          <w:p w:rsidRPr="003409DE" w:rsidR="00DE3591" w:rsidP="00DE3591" w:rsidRDefault="00DE3591" w14:paraId="58295B6B" w14:textId="18FC6A71">
            <w:pPr>
              <w:pStyle w:val="PR1"/>
              <w:ind w:left="0"/>
            </w:pPr>
            <w:r>
              <w:t>Specify APE-free and zero VOC paints</w:t>
            </w:r>
          </w:p>
        </w:tc>
        <w:tc>
          <w:tcPr>
            <w:tcW w:w="2203" w:type="dxa"/>
          </w:tcPr>
          <w:p w:rsidR="00DE3591" w:rsidP="00DE3591" w:rsidRDefault="00DE3591" w14:paraId="7BD5E52B" w14:textId="7CC55DE9">
            <w:pPr>
              <w:pStyle w:val="PR1"/>
              <w:numPr>
                <w:ilvl w:val="0"/>
                <w:numId w:val="0"/>
              </w:numPr>
            </w:pPr>
            <w:r w:rsidRPr="003409DE">
              <w:t xml:space="preserve">Comply with </w:t>
            </w:r>
            <w:r w:rsidR="00881E55">
              <w:t>CDPH</w:t>
            </w:r>
            <w:r w:rsidRPr="003409DE">
              <w:t xml:space="preserve"> Standard</w:t>
            </w:r>
          </w:p>
          <w:p w:rsidR="00DE3591" w:rsidP="00DE3591" w:rsidRDefault="00DE3591" w14:paraId="67E94392" w14:textId="7FB2A79A">
            <w:pPr>
              <w:pStyle w:val="PR1"/>
              <w:numPr>
                <w:ilvl w:val="2"/>
                <w:numId w:val="0"/>
              </w:numPr>
            </w:pPr>
            <w:r>
              <w:t xml:space="preserve">UL </w:t>
            </w:r>
            <w:proofErr w:type="spellStart"/>
            <w:r>
              <w:t>GreenGuard</w:t>
            </w:r>
            <w:proofErr w:type="spellEnd"/>
            <w:r>
              <w:t xml:space="preserve"> Gold</w:t>
            </w:r>
          </w:p>
        </w:tc>
      </w:tr>
      <w:tr w:rsidR="00DE3591" w:rsidTr="00DE3591" w14:paraId="5DB2EB02" w14:textId="77777777">
        <w:trPr>
          <w:trHeight w:val="1158"/>
          <w:jc w:val="center"/>
        </w:trPr>
        <w:tc>
          <w:tcPr>
            <w:tcW w:w="1492" w:type="dxa"/>
            <w:vMerge/>
          </w:tcPr>
          <w:p w:rsidR="00DE3591" w:rsidP="00DE3591" w:rsidRDefault="00DE3591" w14:paraId="05FD7238" w14:textId="77777777">
            <w:pPr>
              <w:pStyle w:val="PR1"/>
              <w:numPr>
                <w:ilvl w:val="0"/>
                <w:numId w:val="0"/>
              </w:numPr>
              <w:jc w:val="center"/>
            </w:pPr>
          </w:p>
        </w:tc>
        <w:tc>
          <w:tcPr>
            <w:tcW w:w="1290" w:type="dxa"/>
            <w:vMerge/>
          </w:tcPr>
          <w:p w:rsidR="00DE3591" w:rsidP="00DE3591" w:rsidRDefault="00DE3591" w14:paraId="6713808B" w14:textId="77777777">
            <w:pPr>
              <w:pStyle w:val="PR1"/>
              <w:numPr>
                <w:ilvl w:val="0"/>
                <w:numId w:val="0"/>
              </w:numPr>
              <w:jc w:val="center"/>
            </w:pPr>
          </w:p>
        </w:tc>
        <w:tc>
          <w:tcPr>
            <w:tcW w:w="2253" w:type="dxa"/>
            <w:vMerge/>
          </w:tcPr>
          <w:p w:rsidRPr="00C560D3" w:rsidR="00DE3591" w:rsidP="00DE3591" w:rsidRDefault="00DE3591" w14:paraId="72374928" w14:textId="77777777">
            <w:pPr>
              <w:pStyle w:val="PR1"/>
              <w:numPr>
                <w:ilvl w:val="2"/>
                <w:numId w:val="0"/>
              </w:numPr>
              <w:rPr>
                <w:b/>
                <w:bCs/>
              </w:rPr>
            </w:pPr>
          </w:p>
        </w:tc>
        <w:tc>
          <w:tcPr>
            <w:tcW w:w="2207" w:type="dxa"/>
            <w:vMerge/>
          </w:tcPr>
          <w:p w:rsidR="00DE3591" w:rsidP="00DE3591" w:rsidRDefault="00DE3591" w14:paraId="4DFE7C9D" w14:textId="77777777">
            <w:pPr>
              <w:pStyle w:val="PR1"/>
              <w:ind w:left="0"/>
            </w:pPr>
          </w:p>
        </w:tc>
        <w:tc>
          <w:tcPr>
            <w:tcW w:w="2203" w:type="dxa"/>
          </w:tcPr>
          <w:p w:rsidRPr="003409DE" w:rsidR="00DE3591" w:rsidP="00DE3591" w:rsidRDefault="00DE3591" w14:paraId="36FF8141" w14:textId="37CEA3E4">
            <w:pPr>
              <w:pStyle w:val="PR1"/>
              <w:numPr>
                <w:ilvl w:val="0"/>
                <w:numId w:val="0"/>
              </w:numPr>
            </w:pPr>
            <w:r>
              <w:t>APE-free</w:t>
            </w:r>
          </w:p>
        </w:tc>
      </w:tr>
      <w:tr w:rsidR="00DE3591" w:rsidTr="00EF43D5" w14:paraId="30FC264D" w14:textId="77777777">
        <w:trPr>
          <w:trHeight w:val="953"/>
          <w:jc w:val="center"/>
        </w:trPr>
        <w:tc>
          <w:tcPr>
            <w:tcW w:w="1492" w:type="dxa"/>
          </w:tcPr>
          <w:p w:rsidR="00DE3591" w:rsidP="00DE3591" w:rsidRDefault="00DE3591" w14:paraId="3969D38A" w14:textId="756D94D8">
            <w:pPr>
              <w:pStyle w:val="PR1"/>
              <w:numPr>
                <w:ilvl w:val="0"/>
                <w:numId w:val="0"/>
              </w:numPr>
              <w:jc w:val="center"/>
            </w:pPr>
            <w:r>
              <w:t>High-Performance Coatings</w:t>
            </w:r>
          </w:p>
        </w:tc>
        <w:tc>
          <w:tcPr>
            <w:tcW w:w="1290" w:type="dxa"/>
          </w:tcPr>
          <w:p w:rsidR="00DE3591" w:rsidP="00DE3591" w:rsidRDefault="00DE3591" w14:paraId="2BE52A2E" w14:textId="7B8C9265">
            <w:pPr>
              <w:pStyle w:val="PR1"/>
              <w:numPr>
                <w:ilvl w:val="0"/>
                <w:numId w:val="0"/>
              </w:numPr>
              <w:jc w:val="center"/>
            </w:pPr>
            <w:r>
              <w:t>Low</w:t>
            </w:r>
          </w:p>
        </w:tc>
        <w:tc>
          <w:tcPr>
            <w:tcW w:w="2253" w:type="dxa"/>
          </w:tcPr>
          <w:p w:rsidR="00DE3591" w:rsidP="00DE3591" w:rsidRDefault="00DE3591" w14:paraId="118FEECC" w14:textId="38ABE526">
            <w:pPr>
              <w:pStyle w:val="PR1"/>
              <w:numPr>
                <w:ilvl w:val="2"/>
                <w:numId w:val="0"/>
              </w:numPr>
            </w:pPr>
            <w:r w:rsidRPr="0094717A">
              <w:rPr>
                <w:b/>
                <w:bCs/>
              </w:rPr>
              <w:t>Bisp</w:t>
            </w:r>
            <w:r>
              <w:rPr>
                <w:b/>
                <w:bCs/>
              </w:rPr>
              <w:t>h</w:t>
            </w:r>
            <w:r w:rsidRPr="0094717A">
              <w:rPr>
                <w:b/>
                <w:bCs/>
              </w:rPr>
              <w:t>enols</w:t>
            </w:r>
            <w:r w:rsidRPr="00C560D3">
              <w:t xml:space="preserve"> </w:t>
            </w:r>
            <w:r>
              <w:t>(</w:t>
            </w:r>
            <w:r w:rsidRPr="00C560D3">
              <w:t>hormone disruptors</w:t>
            </w:r>
            <w:r>
              <w:t xml:space="preserve">), </w:t>
            </w:r>
            <w:r w:rsidRPr="00A232FE">
              <w:rPr>
                <w:b/>
                <w:bCs/>
              </w:rPr>
              <w:t>Isocyanates</w:t>
            </w:r>
          </w:p>
        </w:tc>
        <w:tc>
          <w:tcPr>
            <w:tcW w:w="2207" w:type="dxa"/>
          </w:tcPr>
          <w:p w:rsidR="00DE3591" w:rsidP="00DE3591" w:rsidRDefault="00DE3591" w14:paraId="52341275" w14:textId="4838FEB2">
            <w:pPr>
              <w:pStyle w:val="PR1"/>
              <w:numPr>
                <w:ilvl w:val="2"/>
                <w:numId w:val="0"/>
              </w:numPr>
            </w:pPr>
            <w:r>
              <w:t>Specify epoxy-free and isocyanates-free products</w:t>
            </w:r>
          </w:p>
        </w:tc>
        <w:tc>
          <w:tcPr>
            <w:tcW w:w="2203" w:type="dxa"/>
            <w:shd w:val="clear" w:color="auto" w:fill="E7E6E6" w:themeFill="background2"/>
          </w:tcPr>
          <w:p w:rsidR="00DE3591" w:rsidP="00DE3591" w:rsidRDefault="003A6413" w14:paraId="59C8B18B" w14:textId="7D27F73B">
            <w:pPr>
              <w:pStyle w:val="PR1"/>
              <w:numPr>
                <w:ilvl w:val="2"/>
                <w:numId w:val="0"/>
              </w:numPr>
            </w:pPr>
            <w:r>
              <w:t>Not addressed in ESDS</w:t>
            </w:r>
          </w:p>
        </w:tc>
      </w:tr>
      <w:tr w:rsidR="00DE3591" w:rsidTr="00EF43D5" w14:paraId="56F74B22" w14:textId="77777777">
        <w:trPr>
          <w:trHeight w:val="881"/>
          <w:jc w:val="center"/>
        </w:trPr>
        <w:tc>
          <w:tcPr>
            <w:tcW w:w="1492" w:type="dxa"/>
          </w:tcPr>
          <w:p w:rsidR="00DE3591" w:rsidP="00DE3591" w:rsidRDefault="00DE3591" w14:paraId="54561A5C" w14:textId="5215A432">
            <w:pPr>
              <w:pStyle w:val="PR1"/>
              <w:numPr>
                <w:ilvl w:val="0"/>
                <w:numId w:val="0"/>
              </w:numPr>
              <w:jc w:val="center"/>
            </w:pPr>
            <w:r>
              <w:t>Roller Shades</w:t>
            </w:r>
          </w:p>
        </w:tc>
        <w:tc>
          <w:tcPr>
            <w:tcW w:w="1290" w:type="dxa"/>
          </w:tcPr>
          <w:p w:rsidR="00DE3591" w:rsidP="00DE3591" w:rsidRDefault="00DE3591" w14:paraId="063E29B8" w14:textId="68DBF2C7">
            <w:pPr>
              <w:pStyle w:val="PR1"/>
              <w:numPr>
                <w:ilvl w:val="0"/>
                <w:numId w:val="0"/>
              </w:numPr>
              <w:jc w:val="center"/>
            </w:pPr>
            <w:r>
              <w:t>Medium</w:t>
            </w:r>
          </w:p>
        </w:tc>
        <w:tc>
          <w:tcPr>
            <w:tcW w:w="2253" w:type="dxa"/>
          </w:tcPr>
          <w:p w:rsidR="00DE3591" w:rsidP="00DE3591" w:rsidRDefault="00DE3591" w14:paraId="19D339B5" w14:textId="37D566C4">
            <w:pPr>
              <w:pStyle w:val="PR1"/>
              <w:numPr>
                <w:ilvl w:val="2"/>
                <w:numId w:val="0"/>
              </w:numPr>
            </w:pPr>
            <w:proofErr w:type="spellStart"/>
            <w:r>
              <w:rPr>
                <w:b/>
                <w:bCs/>
              </w:rPr>
              <w:t>Orthop</w:t>
            </w:r>
            <w:r w:rsidRPr="004F57AE">
              <w:rPr>
                <w:b/>
                <w:bCs/>
              </w:rPr>
              <w:t>hthalates</w:t>
            </w:r>
            <w:proofErr w:type="spellEnd"/>
          </w:p>
        </w:tc>
        <w:tc>
          <w:tcPr>
            <w:tcW w:w="2207" w:type="dxa"/>
          </w:tcPr>
          <w:p w:rsidR="00DE3591" w:rsidP="00DE3591" w:rsidRDefault="00DE3591" w14:paraId="7F24F151" w14:textId="670D03D1">
            <w:pPr>
              <w:pStyle w:val="PR1"/>
              <w:numPr>
                <w:ilvl w:val="2"/>
                <w:numId w:val="0"/>
              </w:numPr>
            </w:pPr>
            <w:r>
              <w:t xml:space="preserve">Specify </w:t>
            </w:r>
            <w:r w:rsidR="00CB7636">
              <w:t>p</w:t>
            </w:r>
            <w:r>
              <w:t>hthalate-free and no PVC/Vinyl products</w:t>
            </w:r>
          </w:p>
        </w:tc>
        <w:tc>
          <w:tcPr>
            <w:tcW w:w="2203" w:type="dxa"/>
            <w:shd w:val="clear" w:color="auto" w:fill="E7E6E6" w:themeFill="background2"/>
          </w:tcPr>
          <w:p w:rsidR="00DE3591" w:rsidP="00DE3591" w:rsidRDefault="003A6413" w14:paraId="5759A1A1" w14:textId="01447F75">
            <w:pPr>
              <w:pStyle w:val="PR1"/>
              <w:numPr>
                <w:ilvl w:val="2"/>
                <w:numId w:val="0"/>
              </w:numPr>
            </w:pPr>
            <w:r>
              <w:t>Not addressed in ESDS</w:t>
            </w:r>
          </w:p>
        </w:tc>
      </w:tr>
      <w:tr w:rsidR="00DE3591" w:rsidTr="00DE3591" w14:paraId="3D2C0528" w14:textId="77777777">
        <w:trPr>
          <w:trHeight w:val="978"/>
          <w:jc w:val="center"/>
        </w:trPr>
        <w:tc>
          <w:tcPr>
            <w:tcW w:w="1492" w:type="dxa"/>
            <w:vMerge w:val="restart"/>
          </w:tcPr>
          <w:p w:rsidR="00DE3591" w:rsidP="00DE3591" w:rsidRDefault="00DE3591" w14:paraId="5F3E3359" w14:textId="6ABF7F49">
            <w:pPr>
              <w:pStyle w:val="PR1"/>
              <w:numPr>
                <w:ilvl w:val="0"/>
                <w:numId w:val="0"/>
              </w:numPr>
              <w:jc w:val="center"/>
            </w:pPr>
            <w:r>
              <w:t>Casework: Doors</w:t>
            </w:r>
          </w:p>
        </w:tc>
        <w:tc>
          <w:tcPr>
            <w:tcW w:w="1290" w:type="dxa"/>
            <w:vMerge w:val="restart"/>
          </w:tcPr>
          <w:p w:rsidR="00DE3591" w:rsidP="00DE3591" w:rsidRDefault="00DE3591" w14:paraId="7044D4B1" w14:textId="6F0FB6AD">
            <w:pPr>
              <w:pStyle w:val="PR1"/>
              <w:numPr>
                <w:ilvl w:val="0"/>
                <w:numId w:val="0"/>
              </w:numPr>
              <w:jc w:val="center"/>
            </w:pPr>
            <w:r>
              <w:t>Low</w:t>
            </w:r>
          </w:p>
        </w:tc>
        <w:tc>
          <w:tcPr>
            <w:tcW w:w="2253" w:type="dxa"/>
            <w:vMerge w:val="restart"/>
          </w:tcPr>
          <w:p w:rsidR="00DE3591" w:rsidP="00DE3591" w:rsidRDefault="00DE3591" w14:paraId="1BA071B4" w14:textId="728BE831">
            <w:pPr>
              <w:pStyle w:val="PR1"/>
              <w:numPr>
                <w:ilvl w:val="2"/>
                <w:numId w:val="0"/>
              </w:numPr>
            </w:pPr>
            <w:r w:rsidRPr="004F57AE">
              <w:rPr>
                <w:b/>
                <w:bCs/>
              </w:rPr>
              <w:t xml:space="preserve">Formaldehyde </w:t>
            </w:r>
            <w:r w:rsidRPr="0094717A">
              <w:rPr>
                <w:b/>
                <w:bCs/>
              </w:rPr>
              <w:t xml:space="preserve"> </w:t>
            </w:r>
          </w:p>
        </w:tc>
        <w:tc>
          <w:tcPr>
            <w:tcW w:w="2207" w:type="dxa"/>
            <w:vMerge w:val="restart"/>
          </w:tcPr>
          <w:p w:rsidR="00DE3591" w:rsidP="00DE3591" w:rsidRDefault="00DE3591" w14:paraId="0DEE1A3C" w14:textId="74FD4F23">
            <w:pPr>
              <w:pStyle w:val="PR1"/>
              <w:numPr>
                <w:ilvl w:val="2"/>
                <w:numId w:val="0"/>
              </w:numPr>
            </w:pPr>
            <w:r>
              <w:t>Specify solid wood or no-added formaldehyde composite, and opt for a plywood over other composite wood where possible</w:t>
            </w:r>
          </w:p>
        </w:tc>
        <w:tc>
          <w:tcPr>
            <w:tcW w:w="2203" w:type="dxa"/>
          </w:tcPr>
          <w:p w:rsidR="00DE3591" w:rsidP="00DE3591" w:rsidRDefault="00DE3591" w14:paraId="7536D357" w14:textId="3B7E2AB6">
            <w:pPr>
              <w:pStyle w:val="PR1"/>
              <w:numPr>
                <w:ilvl w:val="2"/>
                <w:numId w:val="0"/>
              </w:numPr>
            </w:pPr>
            <w:r>
              <w:t>Formaldehyde - comply with CARB Ph</w:t>
            </w:r>
            <w:r w:rsidR="00CB7636">
              <w:t xml:space="preserve">ase </w:t>
            </w:r>
            <w:r>
              <w:t xml:space="preserve">2 and/or TSCA Title </w:t>
            </w:r>
            <w:r w:rsidR="00076891">
              <w:t>VI</w:t>
            </w:r>
          </w:p>
        </w:tc>
      </w:tr>
      <w:tr w:rsidR="00DE3591" w:rsidTr="00DE3591" w14:paraId="0A24C75E" w14:textId="77777777">
        <w:trPr>
          <w:trHeight w:val="978"/>
          <w:jc w:val="center"/>
        </w:trPr>
        <w:tc>
          <w:tcPr>
            <w:tcW w:w="1492" w:type="dxa"/>
            <w:vMerge/>
          </w:tcPr>
          <w:p w:rsidR="00DE3591" w:rsidP="00DE3591" w:rsidRDefault="00DE3591" w14:paraId="55A8FE2B" w14:textId="77777777">
            <w:pPr>
              <w:pStyle w:val="PR1"/>
              <w:numPr>
                <w:ilvl w:val="0"/>
                <w:numId w:val="0"/>
              </w:numPr>
              <w:jc w:val="center"/>
            </w:pPr>
          </w:p>
        </w:tc>
        <w:tc>
          <w:tcPr>
            <w:tcW w:w="1290" w:type="dxa"/>
            <w:vMerge/>
          </w:tcPr>
          <w:p w:rsidR="00DE3591" w:rsidP="00DE3591" w:rsidRDefault="00DE3591" w14:paraId="4F2B8E2A" w14:textId="77777777">
            <w:pPr>
              <w:pStyle w:val="PR1"/>
              <w:numPr>
                <w:ilvl w:val="0"/>
                <w:numId w:val="0"/>
              </w:numPr>
              <w:jc w:val="center"/>
            </w:pPr>
          </w:p>
        </w:tc>
        <w:tc>
          <w:tcPr>
            <w:tcW w:w="2253" w:type="dxa"/>
            <w:vMerge/>
          </w:tcPr>
          <w:p w:rsidRPr="004F57AE" w:rsidR="00DE3591" w:rsidP="00DE3591" w:rsidRDefault="00DE3591" w14:paraId="54F9B33A" w14:textId="77777777">
            <w:pPr>
              <w:pStyle w:val="PR1"/>
              <w:numPr>
                <w:ilvl w:val="2"/>
                <w:numId w:val="0"/>
              </w:numPr>
              <w:rPr>
                <w:b/>
                <w:bCs/>
              </w:rPr>
            </w:pPr>
          </w:p>
        </w:tc>
        <w:tc>
          <w:tcPr>
            <w:tcW w:w="2207" w:type="dxa"/>
            <w:vMerge/>
          </w:tcPr>
          <w:p w:rsidR="00DE3591" w:rsidP="00DE3591" w:rsidRDefault="00DE3591" w14:paraId="0A5DAD56" w14:textId="77777777">
            <w:pPr>
              <w:pStyle w:val="PR1"/>
              <w:numPr>
                <w:ilvl w:val="2"/>
                <w:numId w:val="0"/>
              </w:numPr>
            </w:pPr>
          </w:p>
        </w:tc>
        <w:tc>
          <w:tcPr>
            <w:tcW w:w="2203" w:type="dxa"/>
          </w:tcPr>
          <w:p w:rsidR="00DE3591" w:rsidP="00DE3591" w:rsidRDefault="00DE3591" w14:paraId="46CF79FC" w14:textId="13B138DE">
            <w:pPr>
              <w:pStyle w:val="PR1"/>
              <w:numPr>
                <w:ilvl w:val="2"/>
                <w:numId w:val="0"/>
              </w:numPr>
            </w:pPr>
            <w:r>
              <w:t>Only use No Added Formaldehyde (NAF) or Ultra-Low Emitting Formaldehyde (ULEF)</w:t>
            </w:r>
          </w:p>
        </w:tc>
      </w:tr>
      <w:tr w:rsidR="00DE3591" w:rsidTr="00DE3591" w14:paraId="24048C7C" w14:textId="77777777">
        <w:trPr>
          <w:trHeight w:val="978"/>
          <w:jc w:val="center"/>
        </w:trPr>
        <w:tc>
          <w:tcPr>
            <w:tcW w:w="1492" w:type="dxa"/>
            <w:vMerge w:val="restart"/>
          </w:tcPr>
          <w:p w:rsidR="00DE3591" w:rsidP="00DE3591" w:rsidRDefault="00DE3591" w14:paraId="5CCE919E" w14:textId="3CA4F2A5">
            <w:pPr>
              <w:pStyle w:val="PR1"/>
              <w:numPr>
                <w:ilvl w:val="0"/>
                <w:numId w:val="0"/>
              </w:numPr>
              <w:jc w:val="center"/>
            </w:pPr>
            <w:r>
              <w:t>Casework: Cabinets</w:t>
            </w:r>
          </w:p>
        </w:tc>
        <w:tc>
          <w:tcPr>
            <w:tcW w:w="1290" w:type="dxa"/>
            <w:vMerge w:val="restart"/>
          </w:tcPr>
          <w:p w:rsidR="00DE3591" w:rsidP="00DE3591" w:rsidRDefault="00DE3591" w14:paraId="7BB53C2D" w14:textId="2773609A">
            <w:pPr>
              <w:pStyle w:val="PR1"/>
              <w:numPr>
                <w:ilvl w:val="0"/>
                <w:numId w:val="0"/>
              </w:numPr>
              <w:jc w:val="center"/>
            </w:pPr>
            <w:r>
              <w:t>Low</w:t>
            </w:r>
          </w:p>
        </w:tc>
        <w:tc>
          <w:tcPr>
            <w:tcW w:w="2253" w:type="dxa"/>
            <w:vMerge w:val="restart"/>
          </w:tcPr>
          <w:p w:rsidR="00DE3591" w:rsidP="00DE3591" w:rsidRDefault="00DE3591" w14:paraId="72D28C1F" w14:textId="5D5920F9">
            <w:pPr>
              <w:pStyle w:val="PR1"/>
              <w:numPr>
                <w:ilvl w:val="2"/>
                <w:numId w:val="0"/>
              </w:numPr>
            </w:pPr>
            <w:r w:rsidRPr="004F57AE">
              <w:rPr>
                <w:b/>
                <w:bCs/>
              </w:rPr>
              <w:t xml:space="preserve">Formaldehyde </w:t>
            </w:r>
            <w:r w:rsidRPr="0094717A">
              <w:rPr>
                <w:b/>
                <w:bCs/>
              </w:rPr>
              <w:t xml:space="preserve"> </w:t>
            </w:r>
          </w:p>
        </w:tc>
        <w:tc>
          <w:tcPr>
            <w:tcW w:w="2207" w:type="dxa"/>
            <w:vMerge w:val="restart"/>
          </w:tcPr>
          <w:p w:rsidR="00DE3591" w:rsidP="00DE3591" w:rsidRDefault="00DE3591" w14:paraId="7636F30D" w14:textId="6FAC3069">
            <w:pPr>
              <w:pStyle w:val="PR1"/>
              <w:numPr>
                <w:ilvl w:val="2"/>
                <w:numId w:val="0"/>
              </w:numPr>
            </w:pPr>
            <w:r>
              <w:t>Specify solid wood or no-added formaldehyde composite</w:t>
            </w:r>
          </w:p>
        </w:tc>
        <w:tc>
          <w:tcPr>
            <w:tcW w:w="2203" w:type="dxa"/>
          </w:tcPr>
          <w:p w:rsidR="00DE3591" w:rsidP="00DE3591" w:rsidRDefault="00DE3591" w14:paraId="1256722F" w14:textId="72395631">
            <w:pPr>
              <w:pStyle w:val="PR1"/>
              <w:numPr>
                <w:ilvl w:val="2"/>
                <w:numId w:val="0"/>
              </w:numPr>
            </w:pPr>
            <w:r>
              <w:t>Formaldehyde - comply with CARB Ph</w:t>
            </w:r>
            <w:r w:rsidR="00076891">
              <w:t xml:space="preserve">ase </w:t>
            </w:r>
            <w:r>
              <w:t xml:space="preserve">2 and/or TSCA Title </w:t>
            </w:r>
          </w:p>
        </w:tc>
      </w:tr>
      <w:tr w:rsidR="00DE3591" w:rsidTr="00DE3591" w14:paraId="103CFBCA" w14:textId="77777777">
        <w:trPr>
          <w:trHeight w:val="978"/>
          <w:jc w:val="center"/>
        </w:trPr>
        <w:tc>
          <w:tcPr>
            <w:tcW w:w="1492" w:type="dxa"/>
            <w:vMerge/>
          </w:tcPr>
          <w:p w:rsidR="00DE3591" w:rsidP="00DE3591" w:rsidRDefault="00DE3591" w14:paraId="2EC645D3" w14:textId="77777777">
            <w:pPr>
              <w:pStyle w:val="PR1"/>
              <w:numPr>
                <w:ilvl w:val="0"/>
                <w:numId w:val="0"/>
              </w:numPr>
              <w:jc w:val="center"/>
            </w:pPr>
          </w:p>
        </w:tc>
        <w:tc>
          <w:tcPr>
            <w:tcW w:w="1290" w:type="dxa"/>
            <w:vMerge/>
          </w:tcPr>
          <w:p w:rsidR="00DE3591" w:rsidP="00DE3591" w:rsidRDefault="00DE3591" w14:paraId="077173C4" w14:textId="77777777">
            <w:pPr>
              <w:pStyle w:val="PR1"/>
              <w:numPr>
                <w:ilvl w:val="0"/>
                <w:numId w:val="0"/>
              </w:numPr>
              <w:jc w:val="center"/>
            </w:pPr>
          </w:p>
        </w:tc>
        <w:tc>
          <w:tcPr>
            <w:tcW w:w="2253" w:type="dxa"/>
            <w:vMerge/>
          </w:tcPr>
          <w:p w:rsidRPr="004F57AE" w:rsidR="00DE3591" w:rsidP="00DE3591" w:rsidRDefault="00DE3591" w14:paraId="2672DDF4" w14:textId="77777777">
            <w:pPr>
              <w:pStyle w:val="PR1"/>
              <w:numPr>
                <w:ilvl w:val="2"/>
                <w:numId w:val="0"/>
              </w:numPr>
              <w:rPr>
                <w:b/>
                <w:bCs/>
              </w:rPr>
            </w:pPr>
          </w:p>
        </w:tc>
        <w:tc>
          <w:tcPr>
            <w:tcW w:w="2207" w:type="dxa"/>
            <w:vMerge/>
          </w:tcPr>
          <w:p w:rsidR="00DE3591" w:rsidP="00DE3591" w:rsidRDefault="00DE3591" w14:paraId="1FB99283" w14:textId="77777777">
            <w:pPr>
              <w:pStyle w:val="PR1"/>
              <w:numPr>
                <w:ilvl w:val="2"/>
                <w:numId w:val="0"/>
              </w:numPr>
            </w:pPr>
          </w:p>
        </w:tc>
        <w:tc>
          <w:tcPr>
            <w:tcW w:w="2203" w:type="dxa"/>
          </w:tcPr>
          <w:p w:rsidR="00DE3591" w:rsidP="00DE3591" w:rsidRDefault="00DE3591" w14:paraId="2D368043" w14:textId="4F8AF6C5">
            <w:pPr>
              <w:pStyle w:val="PR1"/>
              <w:numPr>
                <w:ilvl w:val="2"/>
                <w:numId w:val="0"/>
              </w:numPr>
            </w:pPr>
            <w:r>
              <w:t>Only use No Added Formaldehyde (NAF) or Ultra-Low Emitting Formaldehyde (ULEF)</w:t>
            </w:r>
          </w:p>
        </w:tc>
      </w:tr>
      <w:tr w:rsidR="00DE3591" w:rsidTr="003A6413" w14:paraId="3AAF39E6" w14:textId="77777777">
        <w:trPr>
          <w:trHeight w:val="1187"/>
          <w:jc w:val="center"/>
        </w:trPr>
        <w:tc>
          <w:tcPr>
            <w:tcW w:w="1492" w:type="dxa"/>
            <w:vMerge w:val="restart"/>
          </w:tcPr>
          <w:p w:rsidR="00DE3591" w:rsidP="006D19A4" w:rsidRDefault="00DE3591" w14:paraId="36491773" w14:textId="0BD18B1E">
            <w:pPr>
              <w:pStyle w:val="PR1"/>
              <w:keepNext/>
              <w:keepLines/>
              <w:numPr>
                <w:ilvl w:val="0"/>
                <w:numId w:val="0"/>
              </w:numPr>
              <w:jc w:val="center"/>
            </w:pPr>
            <w:r>
              <w:lastRenderedPageBreak/>
              <w:t>Countertops</w:t>
            </w:r>
          </w:p>
        </w:tc>
        <w:tc>
          <w:tcPr>
            <w:tcW w:w="1290" w:type="dxa"/>
            <w:vMerge w:val="restart"/>
          </w:tcPr>
          <w:p w:rsidR="00DE3591" w:rsidP="006D19A4" w:rsidRDefault="00DE3591" w14:paraId="2D15550B" w14:textId="77777777">
            <w:pPr>
              <w:pStyle w:val="PR1"/>
              <w:keepNext/>
              <w:keepLines/>
              <w:numPr>
                <w:ilvl w:val="0"/>
                <w:numId w:val="0"/>
              </w:numPr>
              <w:jc w:val="center"/>
            </w:pPr>
          </w:p>
        </w:tc>
        <w:tc>
          <w:tcPr>
            <w:tcW w:w="2253" w:type="dxa"/>
            <w:vMerge w:val="restart"/>
          </w:tcPr>
          <w:p w:rsidRPr="004F57AE" w:rsidR="00DE3591" w:rsidP="006D19A4" w:rsidRDefault="00DE3591" w14:paraId="266C5EAA" w14:textId="6BD2B32B">
            <w:pPr>
              <w:pStyle w:val="PR1"/>
              <w:keepNext/>
              <w:keepLines/>
              <w:numPr>
                <w:ilvl w:val="2"/>
                <w:numId w:val="0"/>
              </w:numPr>
              <w:rPr>
                <w:b/>
                <w:bCs/>
              </w:rPr>
            </w:pPr>
            <w:r w:rsidRPr="0094717A">
              <w:t xml:space="preserve">Laminate countertops may contain </w:t>
            </w:r>
            <w:r w:rsidRPr="004F57AE">
              <w:rPr>
                <w:b/>
                <w:bCs/>
              </w:rPr>
              <w:t>formaldehyde</w:t>
            </w:r>
            <w:r w:rsidRPr="0094717A">
              <w:t xml:space="preserve">; stone countertops may be sealed with </w:t>
            </w:r>
            <w:r w:rsidRPr="00C560D3">
              <w:rPr>
                <w:b/>
                <w:bCs/>
              </w:rPr>
              <w:t>PFAS</w:t>
            </w:r>
            <w:r>
              <w:t xml:space="preserve"> (</w:t>
            </w:r>
            <w:r w:rsidRPr="0094717A">
              <w:t>can suppress the immune system, raise cholesterol, and cause cancer</w:t>
            </w:r>
            <w:r>
              <w:t>)</w:t>
            </w:r>
            <w:r w:rsidRPr="0094717A">
              <w:t>.</w:t>
            </w:r>
          </w:p>
        </w:tc>
        <w:tc>
          <w:tcPr>
            <w:tcW w:w="2207" w:type="dxa"/>
            <w:vMerge w:val="restart"/>
          </w:tcPr>
          <w:p w:rsidR="00DE3591" w:rsidP="006D19A4" w:rsidRDefault="00DE3591" w14:paraId="693C7374" w14:textId="0A514591">
            <w:pPr>
              <w:pStyle w:val="PR1"/>
              <w:keepNext/>
              <w:keepLines/>
              <w:numPr>
                <w:ilvl w:val="2"/>
                <w:numId w:val="0"/>
              </w:numPr>
            </w:pPr>
            <w:r w:rsidRPr="00C560D3">
              <w:t>Specify mineral or stone-based countertops that do not need to be sealed after installation, such as porcelain slabs, quartz, or some natural stone. Avoid laminate and plastic countertops including cultured marble and solid surface</w:t>
            </w:r>
          </w:p>
        </w:tc>
        <w:tc>
          <w:tcPr>
            <w:tcW w:w="2203" w:type="dxa"/>
          </w:tcPr>
          <w:p w:rsidR="00DE3591" w:rsidP="006D19A4" w:rsidRDefault="00DE3591" w14:paraId="2678672B" w14:textId="52E6342E">
            <w:pPr>
              <w:pStyle w:val="PR1"/>
              <w:keepNext/>
              <w:keepLines/>
              <w:numPr>
                <w:ilvl w:val="2"/>
                <w:numId w:val="0"/>
              </w:numPr>
            </w:pPr>
            <w:r>
              <w:t>Formaldehyde - comply with CARB Ph</w:t>
            </w:r>
            <w:r w:rsidR="00CB7636">
              <w:t xml:space="preserve">ase </w:t>
            </w:r>
            <w:r>
              <w:t xml:space="preserve">2 and/or TSCA Title </w:t>
            </w:r>
            <w:r w:rsidR="00076891">
              <w:t>VI</w:t>
            </w:r>
          </w:p>
        </w:tc>
      </w:tr>
      <w:tr w:rsidR="00DE3591" w:rsidTr="00DE3591" w14:paraId="7C6144F3" w14:textId="77777777">
        <w:trPr>
          <w:trHeight w:val="1788"/>
          <w:jc w:val="center"/>
        </w:trPr>
        <w:tc>
          <w:tcPr>
            <w:tcW w:w="1492" w:type="dxa"/>
            <w:vMerge/>
          </w:tcPr>
          <w:p w:rsidR="00DE3591" w:rsidP="006D19A4" w:rsidRDefault="00DE3591" w14:paraId="173A9D79" w14:textId="77777777">
            <w:pPr>
              <w:pStyle w:val="PR1"/>
              <w:keepNext/>
              <w:keepLines/>
              <w:numPr>
                <w:ilvl w:val="0"/>
                <w:numId w:val="0"/>
              </w:numPr>
              <w:jc w:val="center"/>
            </w:pPr>
          </w:p>
        </w:tc>
        <w:tc>
          <w:tcPr>
            <w:tcW w:w="1290" w:type="dxa"/>
            <w:vMerge/>
          </w:tcPr>
          <w:p w:rsidR="00DE3591" w:rsidP="006D19A4" w:rsidRDefault="00DE3591" w14:paraId="3EB7F9A2" w14:textId="77777777">
            <w:pPr>
              <w:pStyle w:val="PR1"/>
              <w:keepNext/>
              <w:keepLines/>
              <w:numPr>
                <w:ilvl w:val="0"/>
                <w:numId w:val="0"/>
              </w:numPr>
              <w:jc w:val="center"/>
            </w:pPr>
          </w:p>
        </w:tc>
        <w:tc>
          <w:tcPr>
            <w:tcW w:w="2253" w:type="dxa"/>
            <w:vMerge/>
          </w:tcPr>
          <w:p w:rsidRPr="0094717A" w:rsidR="00DE3591" w:rsidP="006D19A4" w:rsidRDefault="00DE3591" w14:paraId="32F08B0D" w14:textId="77777777">
            <w:pPr>
              <w:pStyle w:val="PR1"/>
              <w:keepNext/>
              <w:keepLines/>
              <w:numPr>
                <w:ilvl w:val="2"/>
                <w:numId w:val="0"/>
              </w:numPr>
            </w:pPr>
          </w:p>
        </w:tc>
        <w:tc>
          <w:tcPr>
            <w:tcW w:w="2207" w:type="dxa"/>
            <w:vMerge/>
          </w:tcPr>
          <w:p w:rsidRPr="00C560D3" w:rsidR="00DE3591" w:rsidP="006D19A4" w:rsidRDefault="00DE3591" w14:paraId="51134B56" w14:textId="77777777">
            <w:pPr>
              <w:pStyle w:val="PR1"/>
              <w:keepNext/>
              <w:keepLines/>
              <w:numPr>
                <w:ilvl w:val="2"/>
                <w:numId w:val="0"/>
              </w:numPr>
            </w:pPr>
          </w:p>
        </w:tc>
        <w:tc>
          <w:tcPr>
            <w:tcW w:w="2203" w:type="dxa"/>
          </w:tcPr>
          <w:p w:rsidR="00DE3591" w:rsidP="006D19A4" w:rsidRDefault="00DE3591" w14:paraId="6C3E055F" w14:textId="75F9A032">
            <w:pPr>
              <w:pStyle w:val="PR1"/>
              <w:keepNext/>
              <w:keepLines/>
              <w:numPr>
                <w:ilvl w:val="2"/>
                <w:numId w:val="0"/>
              </w:numPr>
            </w:pPr>
            <w:r>
              <w:t>Only use No Added Formaldehyde (NAF) or Ultra-Low Emitting Formaldehyde (ULEF)</w:t>
            </w:r>
          </w:p>
        </w:tc>
      </w:tr>
    </w:tbl>
    <w:p w:rsidR="0042502D" w:rsidP="0042502D" w:rsidRDefault="0042502D" w14:paraId="237967E4" w14:textId="77777777">
      <w:pPr>
        <w:pStyle w:val="PR4"/>
        <w:numPr>
          <w:ilvl w:val="0"/>
          <w:numId w:val="0"/>
        </w:numPr>
        <w:ind w:left="1800"/>
      </w:pPr>
    </w:p>
    <w:p w:rsidR="001577CA" w:rsidP="001577CA" w:rsidRDefault="001577CA" w14:paraId="3B710C95" w14:textId="77777777">
      <w:pPr>
        <w:pStyle w:val="PR1"/>
        <w:numPr>
          <w:ilvl w:val="0"/>
          <w:numId w:val="0"/>
        </w:numPr>
        <w:ind w:left="900" w:hanging="360"/>
      </w:pPr>
    </w:p>
    <w:p w:rsidRPr="006B27E4" w:rsidR="00B251B6" w:rsidP="006B27E4" w:rsidRDefault="00137FFC" w14:paraId="13A2EEF8" w14:textId="2E76CA09">
      <w:pPr>
        <w:jc w:val="center"/>
        <w:rPr>
          <w:b/>
        </w:rPr>
      </w:pPr>
      <w:r>
        <w:rPr>
          <w:b/>
        </w:rPr>
        <w:t>END OF SECTION</w:t>
      </w:r>
    </w:p>
    <w:sectPr w:rsidRPr="006B27E4" w:rsidR="00B251B6" w:rsidSect="0078531E">
      <w:headerReference w:type="default" r:id="rId24"/>
      <w:footerReference w:type="default" r:id="rId25"/>
      <w:headerReference w:type="first" r:id="rId26"/>
      <w:footerReference w:type="first" r:id="rId27"/>
      <w:type w:val="continuous"/>
      <w:pgSz w:w="12240" w:h="15840"/>
      <w:pgMar w:top="1440" w:right="1267" w:bottom="810" w:left="1080" w:header="547" w:footer="405" w:gutter="36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R" w:author="David Reddy" w:date="2023-06-05T16:48:00Z" w:id="0">
    <w:p w:rsidR="00943B1F" w:rsidP="00DF742C" w:rsidRDefault="00943B1F" w14:paraId="4F9406A8" w14:textId="77777777">
      <w:pPr>
        <w:pStyle w:val="CommentText"/>
      </w:pPr>
      <w:r>
        <w:rPr>
          <w:rStyle w:val="CommentReference"/>
        </w:rPr>
        <w:annotationRef/>
      </w:r>
      <w:r>
        <w:t>This document compiles the recommendations included in the various HDC Exemplary Building Guideline documents. It is intended as a template for design teams to edit and incorporate as they see fit into their own project-specific basis of design or specifications documents.</w:t>
      </w:r>
    </w:p>
  </w:comment>
  <w:comment w:initials="DR" w:author="David Reddy" w:date="2023-05-02T08:53:00Z" w:id="2">
    <w:p w:rsidR="0074389A" w:rsidP="004E1741" w:rsidRDefault="0074389A" w14:paraId="018697CB" w14:textId="65275A77">
      <w:pPr>
        <w:pStyle w:val="CommentText"/>
      </w:pPr>
      <w:r>
        <w:rPr>
          <w:rStyle w:val="CommentReference"/>
        </w:rPr>
        <w:annotationRef/>
      </w:r>
      <w:r>
        <w:t>Reference to other related sections, if desired, such as Div 22, 23, 26, etc. Delete this section if not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406A8" w15:done="0"/>
  <w15:commentEx w15:paraId="018697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9060" w16cex:dateUtc="2023-06-05T23:48:00Z"/>
  <w16cex:commentExtensible w16cex:durableId="27FB4E23" w16cex:dateUtc="2023-05-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406A8" w16cid:durableId="28289060"/>
  <w16cid:commentId w16cid:paraId="018697CB" w16cid:durableId="27FB4E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9F7" w:rsidRDefault="003D39F7" w14:paraId="535C1D1A" w14:textId="77777777">
      <w:r>
        <w:separator/>
      </w:r>
    </w:p>
  </w:endnote>
  <w:endnote w:type="continuationSeparator" w:id="0">
    <w:p w:rsidR="003D39F7" w:rsidRDefault="003D39F7" w14:paraId="046288C6" w14:textId="77777777">
      <w:r>
        <w:continuationSeparator/>
      </w:r>
    </w:p>
  </w:endnote>
  <w:endnote w:type="continuationNotice" w:id="1">
    <w:p w:rsidR="003D39F7" w:rsidRDefault="003D39F7" w14:paraId="6A431F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Futura Condensed">
    <w:altName w:val="Calibri"/>
    <w:charset w:val="00"/>
    <w:family w:val="swiss"/>
    <w:pitch w:val="variable"/>
    <w:sig w:usb0="00000003" w:usb1="00000000" w:usb2="00000000" w:usb3="00000000" w:csb0="00000001" w:csb1="00000000"/>
  </w:font>
  <w:font w:name="CB Futura CondensedBol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6946" w:rsidR="00026520" w:rsidP="00494637" w:rsidRDefault="00026520" w14:paraId="67A14873" w14:textId="77777777">
    <w:pPr>
      <w:pStyle w:val="Footer"/>
      <w:tabs>
        <w:tab w:val="clear" w:pos="4320"/>
        <w:tab w:val="clear" w:pos="8640"/>
        <w:tab w:val="center" w:pos="4860"/>
        <w:tab w:val="right" w:pos="9540"/>
      </w:tabs>
      <w:jc w:val="both"/>
      <w:rPr>
        <w:b/>
      </w:rPr>
    </w:pPr>
    <w:r w:rsidRPr="006A6946">
      <w:rPr>
        <w:b/>
      </w:rPr>
      <w:t>0</w:t>
    </w:r>
    <w:r>
      <w:rPr>
        <w:b/>
      </w:rPr>
      <w:t>18113</w:t>
    </w:r>
    <w:r w:rsidRPr="006A6946">
      <w:rPr>
        <w:rStyle w:val="PageNumber"/>
        <w:b/>
      </w:rPr>
      <w:tab/>
    </w:r>
    <w:r>
      <w:rPr>
        <w:rStyle w:val="PageNumber"/>
        <w:b/>
      </w:rPr>
      <w:tab/>
    </w:r>
    <w:r>
      <w:rPr>
        <w:b/>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520" w:rsidRDefault="00026520" w14:paraId="35D80026" w14:textId="77777777">
    <w:pPr>
      <w:spacing w:line="180" w:lineRule="atLeast"/>
      <w:ind w:right="-720"/>
      <w:rPr>
        <w:rFonts w:ascii="Futura Condensed" w:hAnsi="Futura Condensed"/>
        <w:b/>
        <w:sz w:val="16"/>
      </w:rPr>
    </w:pPr>
    <w:proofErr w:type="spellStart"/>
    <w:r>
      <w:rPr>
        <w:rFonts w:ascii="Futura Condensed" w:hAnsi="Futura Condensed"/>
        <w:b/>
        <w:sz w:val="16"/>
      </w:rPr>
      <w:t>Callison</w:t>
    </w:r>
    <w:proofErr w:type="spellEnd"/>
    <w:r>
      <w:rPr>
        <w:rFonts w:ascii="Futura Condensed" w:hAnsi="Futura Condensed"/>
        <w:b/>
        <w:sz w:val="16"/>
      </w:rPr>
      <w:t xml:space="preserve"> Architecture, Inc.</w:t>
    </w:r>
  </w:p>
  <w:p w:rsidR="00026520" w:rsidRDefault="00026520" w14:paraId="3A8A80C8" w14:textId="77777777">
    <w:pPr>
      <w:tabs>
        <w:tab w:val="left" w:pos="1980"/>
      </w:tabs>
      <w:spacing w:before="100" w:line="180" w:lineRule="atLeast"/>
      <w:ind w:right="-720"/>
      <w:rPr>
        <w:rFonts w:ascii="Futura Condensed" w:hAnsi="Futura Condensed"/>
        <w:sz w:val="14"/>
      </w:rPr>
    </w:pPr>
    <w:r>
      <w:rPr>
        <w:rFonts w:ascii="Futura Condensed" w:hAnsi="Futura Condensed"/>
        <w:sz w:val="14"/>
      </w:rPr>
      <w:t>1420 5th Ave., #2400</w:t>
    </w:r>
  </w:p>
  <w:p w:rsidR="00026520" w:rsidRDefault="00026520" w14:paraId="6E7B3D5D" w14:textId="77777777">
    <w:pPr>
      <w:tabs>
        <w:tab w:val="left" w:pos="1980"/>
      </w:tabs>
      <w:spacing w:line="180" w:lineRule="atLeast"/>
      <w:ind w:right="-720"/>
      <w:rPr>
        <w:rFonts w:ascii="Futura Condensed" w:hAnsi="Futura Condensed"/>
        <w:sz w:val="14"/>
      </w:rPr>
    </w:pPr>
    <w:r>
      <w:rPr>
        <w:rFonts w:ascii="Futura Condensed" w:hAnsi="Futura Condensed"/>
        <w:sz w:val="14"/>
      </w:rPr>
      <w:t>Seattle, WA  98101-2343</w:t>
    </w:r>
  </w:p>
  <w:p w:rsidR="00026520" w:rsidRDefault="00026520" w14:paraId="08EE0848" w14:textId="77777777">
    <w:pPr>
      <w:tabs>
        <w:tab w:val="left" w:pos="1980"/>
      </w:tabs>
      <w:spacing w:line="180" w:lineRule="atLeast"/>
      <w:ind w:right="-720"/>
      <w:rPr>
        <w:rFonts w:ascii="Futura Condensed" w:hAnsi="Futura Condensed"/>
        <w:sz w:val="14"/>
      </w:rPr>
    </w:pPr>
    <w:proofErr w:type="gramStart"/>
    <w:r>
      <w:rPr>
        <w:rFonts w:ascii="Futura Condensed" w:hAnsi="Futura Condensed"/>
        <w:sz w:val="14"/>
      </w:rPr>
      <w:t>T  206.623.4646</w:t>
    </w:r>
    <w:proofErr w:type="gramEnd"/>
  </w:p>
  <w:p w:rsidR="00026520" w:rsidRDefault="00026520" w14:paraId="2EC0706C" w14:textId="77777777">
    <w:pPr>
      <w:tabs>
        <w:tab w:val="left" w:pos="1980"/>
      </w:tabs>
      <w:spacing w:line="180" w:lineRule="atLeast"/>
      <w:ind w:right="-720"/>
      <w:rPr>
        <w:rFonts w:ascii="Futura Condensed" w:hAnsi="Futura Condensed"/>
        <w:sz w:val="14"/>
      </w:rPr>
    </w:pPr>
    <w:proofErr w:type="gramStart"/>
    <w:r>
      <w:rPr>
        <w:rFonts w:ascii="Futura Condensed" w:hAnsi="Futura Condensed"/>
        <w:sz w:val="14"/>
      </w:rPr>
      <w:t>F  206.623.4625</w:t>
    </w:r>
    <w:proofErr w:type="gramEnd"/>
  </w:p>
  <w:p w:rsidR="00026520" w:rsidRDefault="00026520" w14:paraId="27A5B6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9F7" w:rsidRDefault="003D39F7" w14:paraId="75AF3585" w14:textId="77777777">
      <w:r>
        <w:separator/>
      </w:r>
    </w:p>
  </w:footnote>
  <w:footnote w:type="continuationSeparator" w:id="0">
    <w:p w:rsidR="003D39F7" w:rsidRDefault="003D39F7" w14:paraId="21655DCC" w14:textId="77777777">
      <w:r>
        <w:continuationSeparator/>
      </w:r>
    </w:p>
  </w:footnote>
  <w:footnote w:type="continuationNotice" w:id="1">
    <w:p w:rsidR="003D39F7" w:rsidRDefault="003D39F7" w14:paraId="5A7A5E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color="auto" w:sz="4" w:space="0"/>
      </w:tblBorders>
      <w:tblLook w:val="01E0" w:firstRow="1" w:lastRow="1" w:firstColumn="1" w:lastColumn="1" w:noHBand="0" w:noVBand="0"/>
    </w:tblPr>
    <w:tblGrid>
      <w:gridCol w:w="4162"/>
      <w:gridCol w:w="5198"/>
    </w:tblGrid>
    <w:tr w:rsidR="00026520" w:rsidTr="00494637" w14:paraId="00FD9A6C" w14:textId="77777777">
      <w:tc>
        <w:tcPr>
          <w:tcW w:w="4162" w:type="dxa"/>
          <w:shd w:val="clear" w:color="auto" w:fill="auto"/>
        </w:tcPr>
        <w:p w:rsidR="00026520" w:rsidP="00494637" w:rsidRDefault="003F2D18" w14:paraId="3AF70970" w14:textId="4884EEFB">
          <w:pPr>
            <w:pStyle w:val="Header"/>
            <w:overflowPunct w:val="0"/>
            <w:autoSpaceDE w:val="0"/>
            <w:autoSpaceDN w:val="0"/>
            <w:adjustRightInd w:val="0"/>
            <w:jc w:val="left"/>
            <w:textAlignment w:val="baseline"/>
          </w:pPr>
          <w:r w:rsidRPr="003F2D18">
            <w:rPr>
              <w:noProof/>
              <w:highlight w:val="yellow"/>
            </w:rPr>
            <w:t xml:space="preserve">&lt;Enter </w:t>
          </w:r>
          <w:r w:rsidRPr="003F2D18" w:rsidR="00026520">
            <w:rPr>
              <w:noProof/>
              <w:highlight w:val="yellow"/>
            </w:rPr>
            <w:t>Project Name</w:t>
          </w:r>
          <w:r w:rsidRPr="00C70765">
            <w:rPr>
              <w:noProof/>
              <w:highlight w:val="yellow"/>
            </w:rPr>
            <w:t xml:space="preserve"> Here&gt;</w:t>
          </w:r>
        </w:p>
        <w:p w:rsidR="00026520" w:rsidP="00494637" w:rsidRDefault="00026520" w14:paraId="3231DC23" w14:textId="77777777">
          <w:pPr>
            <w:pStyle w:val="Header"/>
            <w:overflowPunct w:val="0"/>
            <w:autoSpaceDE w:val="0"/>
            <w:autoSpaceDN w:val="0"/>
            <w:adjustRightInd w:val="0"/>
            <w:textAlignment w:val="baseline"/>
          </w:pPr>
        </w:p>
      </w:tc>
      <w:tc>
        <w:tcPr>
          <w:tcW w:w="5198" w:type="dxa"/>
          <w:shd w:val="clear" w:color="auto" w:fill="auto"/>
        </w:tcPr>
        <w:p w:rsidRPr="00D529C2" w:rsidR="00026520" w:rsidP="00494637" w:rsidRDefault="00026520" w14:paraId="3DD70B5F" w14:textId="7C01E283">
          <w:pPr>
            <w:overflowPunct w:val="0"/>
            <w:autoSpaceDE w:val="0"/>
            <w:autoSpaceDN w:val="0"/>
            <w:adjustRightInd w:val="0"/>
            <w:jc w:val="right"/>
            <w:textAlignment w:val="baseline"/>
          </w:pPr>
          <w:r w:rsidRPr="00772259">
            <w:rPr>
              <w:caps/>
            </w:rPr>
            <w:t xml:space="preserve">SECTION </w:t>
          </w:r>
          <w:r>
            <w:t>018</w:t>
          </w:r>
          <w:r w:rsidR="005313EA">
            <w:t>XXX</w:t>
          </w:r>
          <w:r>
            <w:t xml:space="preserve">, PAGE </w:t>
          </w:r>
          <w:r>
            <w:fldChar w:fldCharType="begin"/>
          </w:r>
          <w:r>
            <w:instrText xml:space="preserve"> PAGE  \* MERGEFORMAT </w:instrText>
          </w:r>
          <w:r>
            <w:fldChar w:fldCharType="separate"/>
          </w:r>
          <w:r>
            <w:rPr>
              <w:noProof/>
            </w:rPr>
            <w:t>13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p>
        <w:p w:rsidRPr="00A154B7" w:rsidR="00026520" w:rsidP="00494637" w:rsidRDefault="005313EA" w14:paraId="7DDC217C" w14:textId="11E68222">
          <w:pPr>
            <w:overflowPunct w:val="0"/>
            <w:autoSpaceDE w:val="0"/>
            <w:autoSpaceDN w:val="0"/>
            <w:adjustRightInd w:val="0"/>
            <w:jc w:val="right"/>
            <w:textAlignment w:val="baseline"/>
          </w:pPr>
          <w:r>
            <w:t xml:space="preserve">EXEMPLARY </w:t>
          </w:r>
          <w:r w:rsidR="00026520">
            <w:t>BUILDING</w:t>
          </w:r>
          <w:r w:rsidRPr="00D529C2" w:rsidR="00026520">
            <w:t xml:space="preserve"> REQUIREMENTS</w:t>
          </w:r>
        </w:p>
      </w:tc>
    </w:tr>
  </w:tbl>
  <w:p w:rsidR="00026520" w:rsidP="00494637" w:rsidRDefault="00026520" w14:paraId="1C19C4D4" w14:textId="1E3FB5D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08" w:type="dxa"/>
      <w:tblLayout w:type="fixed"/>
      <w:tblLook w:val="0000" w:firstRow="0" w:lastRow="0" w:firstColumn="0" w:lastColumn="0" w:noHBand="0" w:noVBand="0"/>
    </w:tblPr>
    <w:tblGrid>
      <w:gridCol w:w="3753"/>
      <w:gridCol w:w="1380"/>
      <w:gridCol w:w="4918"/>
    </w:tblGrid>
    <w:tr w:rsidR="00026520" w14:paraId="20628CAD" w14:textId="77777777">
      <w:trPr>
        <w:cantSplit/>
        <w:trHeight w:val="1440" w:hRule="exact"/>
      </w:trPr>
      <w:tc>
        <w:tcPr>
          <w:tcW w:w="3753" w:type="dxa"/>
        </w:tcPr>
        <w:p w:rsidR="00026520" w:rsidRDefault="00026520" w14:paraId="19C6553D" w14:textId="77777777">
          <w:pPr>
            <w:pStyle w:val="Arch"/>
            <w:tabs>
              <w:tab w:val="clear" w:pos="4320"/>
              <w:tab w:val="clear" w:pos="5120"/>
            </w:tabs>
            <w:rPr>
              <w:rFonts w:ascii="CB Futura CondensedBold" w:hAnsi="CB Futura CondensedBold"/>
            </w:rPr>
          </w:pPr>
        </w:p>
      </w:tc>
      <w:tc>
        <w:tcPr>
          <w:tcW w:w="1380" w:type="dxa"/>
        </w:tcPr>
        <w:p w:rsidR="00026520" w:rsidRDefault="00026520" w14:paraId="68C0C885" w14:textId="77777777">
          <w:pPr>
            <w:pStyle w:val="Arch"/>
            <w:tabs>
              <w:tab w:val="clear" w:pos="4320"/>
              <w:tab w:val="clear" w:pos="5120"/>
            </w:tabs>
            <w:spacing w:before="1500"/>
            <w:rPr>
              <w:rFonts w:ascii="CB Futura CondensedBold" w:hAnsi="CB Futura CondensedBold"/>
            </w:rPr>
          </w:pPr>
          <w:r>
            <w:rPr>
              <w:rFonts w:ascii="CB Futura CondensedBold" w:hAnsi="CB Futura CondensedBold"/>
              <w:noProof/>
            </w:rPr>
            <w:drawing>
              <wp:inline distT="0" distB="0" distL="0" distR="0" wp14:anchorId="24049B18" wp14:editId="5FBEA682">
                <wp:extent cx="743585" cy="743585"/>
                <wp:effectExtent l="0" t="0" r="0" b="0"/>
                <wp:docPr id="472517822" name="Picture 47251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inline>
            </w:drawing>
          </w:r>
        </w:p>
      </w:tc>
      <w:tc>
        <w:tcPr>
          <w:tcW w:w="4918" w:type="dxa"/>
        </w:tcPr>
        <w:p w:rsidR="00026520" w:rsidRDefault="00026520" w14:paraId="46D97B78" w14:textId="77777777">
          <w:pPr>
            <w:pStyle w:val="Arch"/>
            <w:tabs>
              <w:tab w:val="clear" w:pos="4320"/>
              <w:tab w:val="clear" w:pos="5120"/>
            </w:tabs>
            <w:rPr>
              <w:spacing w:val="235"/>
            </w:rPr>
          </w:pPr>
          <w:r>
            <w:rPr>
              <w:spacing w:val="235"/>
              <w:position w:val="58"/>
            </w:rPr>
            <w:t>ARCHITECTURE</w:t>
          </w:r>
        </w:p>
      </w:tc>
    </w:tr>
  </w:tbl>
  <w:p w:rsidR="00026520" w:rsidRDefault="00026520" w14:paraId="7FBB99C4" w14:textId="77777777">
    <w:pPr>
      <w:widowControl w:val="0"/>
      <w:tabs>
        <w:tab w:val="left" w:pos="3600"/>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5B7"/>
    <w:multiLevelType w:val="hybridMultilevel"/>
    <w:tmpl w:val="DC82213E"/>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133C0D7A"/>
    <w:multiLevelType w:val="multilevel"/>
    <w:tmpl w:val="611CED0E"/>
    <w:lvl w:ilvl="0">
      <w:start w:val="1"/>
      <w:numFmt w:val="decimal"/>
      <w:pStyle w:val="PRT"/>
      <w:suff w:val="nothing"/>
      <w:lvlText w:val="PART %1 - "/>
      <w:lvlJc w:val="left"/>
      <w:pPr>
        <w:ind w:left="0" w:firstLine="0"/>
      </w:pPr>
    </w:lvl>
    <w:lvl w:ilvl="1">
      <w:start w:val="1"/>
      <w:numFmt w:val="decimal"/>
      <w:pStyle w:val="ART"/>
      <w:lvlText w:val="%1.%2"/>
      <w:lvlJc w:val="left"/>
      <w:pPr>
        <w:tabs>
          <w:tab w:val="num" w:pos="504"/>
        </w:tabs>
        <w:ind w:left="504" w:hanging="504"/>
      </w:pPr>
    </w:lvl>
    <w:lvl w:ilvl="2">
      <w:start w:val="1"/>
      <w:numFmt w:val="upperLetter"/>
      <w:pStyle w:val="PR1"/>
      <w:lvlText w:val="%3."/>
      <w:lvlJc w:val="left"/>
      <w:pPr>
        <w:tabs>
          <w:tab w:val="num" w:pos="900"/>
        </w:tabs>
        <w:ind w:left="900" w:hanging="360"/>
      </w:pPr>
    </w:lvl>
    <w:lvl w:ilvl="3">
      <w:start w:val="1"/>
      <w:numFmt w:val="decimal"/>
      <w:pStyle w:val="PR2"/>
      <w:lvlText w:val="%4."/>
      <w:lvlJc w:val="left"/>
      <w:pPr>
        <w:tabs>
          <w:tab w:val="num" w:pos="936"/>
        </w:tabs>
        <w:ind w:left="936" w:hanging="432"/>
      </w:pPr>
      <w:rPr>
        <w:sz w:val="20"/>
      </w:rPr>
    </w:lvl>
    <w:lvl w:ilvl="4">
      <w:start w:val="1"/>
      <w:numFmt w:val="lowerLetter"/>
      <w:pStyle w:val="PR3"/>
      <w:lvlText w:val="%5."/>
      <w:lvlJc w:val="left"/>
      <w:pPr>
        <w:tabs>
          <w:tab w:val="num" w:pos="3672"/>
        </w:tabs>
        <w:ind w:left="3672" w:hanging="432"/>
      </w:pPr>
    </w:lvl>
    <w:lvl w:ilvl="5">
      <w:start w:val="1"/>
      <w:numFmt w:val="decimal"/>
      <w:pStyle w:val="PR4"/>
      <w:lvlText w:val="%6)"/>
      <w:lvlJc w:val="left"/>
      <w:pPr>
        <w:tabs>
          <w:tab w:val="num" w:pos="1800"/>
        </w:tabs>
        <w:ind w:left="18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5"/>
      <w:lvlText w:val="%7)"/>
      <w:lvlJc w:val="left"/>
      <w:pPr>
        <w:tabs>
          <w:tab w:val="num" w:pos="2232"/>
        </w:tabs>
        <w:ind w:left="2232" w:hanging="432"/>
      </w:pPr>
    </w:lvl>
    <w:lvl w:ilvl="7">
      <w:start w:val="1"/>
      <w:numFmt w:val="decimal"/>
      <w:lvlText w:val=""/>
      <w:lvlJc w:val="left"/>
      <w:pPr>
        <w:tabs>
          <w:tab w:val="num" w:pos="2880"/>
        </w:tabs>
        <w:ind w:left="2880" w:hanging="360"/>
      </w:pPr>
    </w:lvl>
    <w:lvl w:ilvl="8">
      <w:numFmt w:val="decimal"/>
      <w:lvlText w:val=""/>
      <w:lvlJc w:val="left"/>
      <w:pPr>
        <w:tabs>
          <w:tab w:val="num" w:pos="3240"/>
        </w:tabs>
        <w:ind w:left="3240" w:hanging="360"/>
      </w:pPr>
    </w:lvl>
  </w:abstractNum>
  <w:abstractNum w:abstractNumId="2" w15:restartNumberingAfterBreak="0">
    <w:nsid w:val="157E3FF9"/>
    <w:multiLevelType w:val="multilevel"/>
    <w:tmpl w:val="0C463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6D57BF"/>
    <w:multiLevelType w:val="multilevel"/>
    <w:tmpl w:val="A9DE3B98"/>
    <w:lvl w:ilvl="0">
      <w:start w:val="1"/>
      <w:numFmt w:val="decimal"/>
      <w:suff w:val="nothing"/>
      <w:lvlText w:val="PART %1 - "/>
      <w:lvlJc w:val="left"/>
      <w:pPr>
        <w:ind w:left="0" w:firstLine="0"/>
      </w:pPr>
    </w:lvl>
    <w:lvl w:ilvl="1">
      <w:start w:val="1"/>
      <w:numFmt w:val="decimal"/>
      <w:lvlText w:val="%1.%2"/>
      <w:lvlJc w:val="left"/>
      <w:pPr>
        <w:tabs>
          <w:tab w:val="num" w:pos="504"/>
        </w:tabs>
        <w:ind w:left="504" w:hanging="504"/>
      </w:pPr>
    </w:lvl>
    <w:lvl w:ilvl="2">
      <w:start w:val="1"/>
      <w:numFmt w:val="upperLetter"/>
      <w:lvlText w:val="%3."/>
      <w:lvlJc w:val="left"/>
      <w:pPr>
        <w:ind w:left="900" w:hanging="360"/>
      </w:pPr>
    </w:lvl>
    <w:lvl w:ilvl="3">
      <w:start w:val="1"/>
      <w:numFmt w:val="decimal"/>
      <w:lvlText w:val="%4."/>
      <w:lvlJc w:val="left"/>
      <w:pPr>
        <w:tabs>
          <w:tab w:val="num" w:pos="936"/>
        </w:tabs>
        <w:ind w:left="936" w:hanging="432"/>
      </w:pPr>
      <w:rPr>
        <w:rFonts w:hint="default" w:ascii="Arial" w:hAnsi="Arial"/>
        <w:sz w:val="20"/>
      </w:rPr>
    </w:lvl>
    <w:lvl w:ilvl="4">
      <w:start w:val="1"/>
      <w:numFmt w:val="lowerLetter"/>
      <w:lvlText w:val="%5."/>
      <w:lvlJc w:val="left"/>
      <w:pPr>
        <w:tabs>
          <w:tab w:val="num" w:pos="1368"/>
        </w:tabs>
        <w:ind w:left="1368" w:hanging="432"/>
      </w:pPr>
    </w:lvl>
    <w:lvl w:ilvl="5">
      <w:start w:val="1"/>
      <w:numFmt w:val="decimal"/>
      <w:lvlText w:val="%6)"/>
      <w:lvlJc w:val="left"/>
      <w:pPr>
        <w:tabs>
          <w:tab w:val="num" w:pos="1800"/>
        </w:tabs>
        <w:ind w:left="18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232"/>
        </w:tabs>
        <w:ind w:left="2232" w:hanging="432"/>
      </w:pPr>
    </w:lvl>
    <w:lvl w:ilvl="7">
      <w:start w:val="1"/>
      <w:numFmt w:val="decimal"/>
      <w:lvlText w:val=""/>
      <w:lvlJc w:val="left"/>
      <w:pPr>
        <w:tabs>
          <w:tab w:val="num" w:pos="2880"/>
        </w:tabs>
        <w:ind w:left="2880" w:hanging="360"/>
      </w:pPr>
    </w:lvl>
    <w:lvl w:ilvl="8">
      <w:numFmt w:val="decimal"/>
      <w:lvlText w:val=""/>
      <w:lvlJc w:val="left"/>
      <w:pPr>
        <w:tabs>
          <w:tab w:val="num" w:pos="3240"/>
        </w:tabs>
        <w:ind w:left="3240" w:hanging="360"/>
      </w:pPr>
    </w:lvl>
  </w:abstractNum>
  <w:abstractNum w:abstractNumId="4" w15:restartNumberingAfterBreak="0">
    <w:nsid w:val="227E77D7"/>
    <w:multiLevelType w:val="hybridMultilevel"/>
    <w:tmpl w:val="9BEAFFF6"/>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DB18A9"/>
    <w:multiLevelType w:val="hybridMultilevel"/>
    <w:tmpl w:val="174057DC"/>
    <w:lvl w:ilvl="0" w:tplc="E8DAB8B2">
      <w:start w:val="1"/>
      <w:numFmt w:val="lowerLetter"/>
      <w:pStyle w:val="SPECPNUM7"/>
      <w:lvlText w:val="%1."/>
      <w:lvlJc w:val="left"/>
      <w:pPr>
        <w:ind w:left="216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6" w15:restartNumberingAfterBreak="0">
    <w:nsid w:val="2BE31B32"/>
    <w:multiLevelType w:val="hybridMultilevel"/>
    <w:tmpl w:val="FFFFFFFF"/>
    <w:lvl w:ilvl="0" w:tplc="6BBC6EC6">
      <w:start w:val="1"/>
      <w:numFmt w:val="upperLetter"/>
      <w:lvlText w:val="%1."/>
      <w:lvlJc w:val="left"/>
      <w:pPr>
        <w:ind w:left="720" w:hanging="360"/>
      </w:pPr>
    </w:lvl>
    <w:lvl w:ilvl="1" w:tplc="03A2D16A">
      <w:start w:val="1"/>
      <w:numFmt w:val="lowerLetter"/>
      <w:lvlText w:val="%2."/>
      <w:lvlJc w:val="left"/>
      <w:pPr>
        <w:ind w:left="1440" w:hanging="360"/>
      </w:pPr>
    </w:lvl>
    <w:lvl w:ilvl="2" w:tplc="44EEAA4A">
      <w:start w:val="1"/>
      <w:numFmt w:val="lowerRoman"/>
      <w:lvlText w:val="%3."/>
      <w:lvlJc w:val="right"/>
      <w:pPr>
        <w:ind w:left="2160" w:hanging="180"/>
      </w:pPr>
    </w:lvl>
    <w:lvl w:ilvl="3" w:tplc="66F895BE">
      <w:start w:val="1"/>
      <w:numFmt w:val="decimal"/>
      <w:lvlText w:val="%4."/>
      <w:lvlJc w:val="left"/>
      <w:pPr>
        <w:ind w:left="2880" w:hanging="360"/>
      </w:pPr>
    </w:lvl>
    <w:lvl w:ilvl="4" w:tplc="481A6DC8">
      <w:start w:val="1"/>
      <w:numFmt w:val="lowerLetter"/>
      <w:lvlText w:val="%5."/>
      <w:lvlJc w:val="left"/>
      <w:pPr>
        <w:ind w:left="3600" w:hanging="360"/>
      </w:pPr>
    </w:lvl>
    <w:lvl w:ilvl="5" w:tplc="2BB08274">
      <w:start w:val="1"/>
      <w:numFmt w:val="lowerRoman"/>
      <w:lvlText w:val="%6."/>
      <w:lvlJc w:val="right"/>
      <w:pPr>
        <w:ind w:left="4320" w:hanging="180"/>
      </w:pPr>
    </w:lvl>
    <w:lvl w:ilvl="6" w:tplc="2BA25C58">
      <w:start w:val="1"/>
      <w:numFmt w:val="decimal"/>
      <w:lvlText w:val="%7."/>
      <w:lvlJc w:val="left"/>
      <w:pPr>
        <w:ind w:left="5040" w:hanging="360"/>
      </w:pPr>
    </w:lvl>
    <w:lvl w:ilvl="7" w:tplc="FE3E53D6">
      <w:start w:val="1"/>
      <w:numFmt w:val="lowerLetter"/>
      <w:lvlText w:val="%8."/>
      <w:lvlJc w:val="left"/>
      <w:pPr>
        <w:ind w:left="5760" w:hanging="360"/>
      </w:pPr>
    </w:lvl>
    <w:lvl w:ilvl="8" w:tplc="A1604E76">
      <w:start w:val="1"/>
      <w:numFmt w:val="lowerRoman"/>
      <w:lvlText w:val="%9."/>
      <w:lvlJc w:val="right"/>
      <w:pPr>
        <w:ind w:left="6480" w:hanging="180"/>
      </w:pPr>
    </w:lvl>
  </w:abstractNum>
  <w:abstractNum w:abstractNumId="7" w15:restartNumberingAfterBreak="0">
    <w:nsid w:val="2E4C554A"/>
    <w:multiLevelType w:val="hybridMultilevel"/>
    <w:tmpl w:val="A55425A2"/>
    <w:lvl w:ilvl="0" w:tplc="4E5C92E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5A1CD2"/>
    <w:multiLevelType w:val="multilevel"/>
    <w:tmpl w:val="C38A2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51F282A"/>
    <w:multiLevelType w:val="hybridMultilevel"/>
    <w:tmpl w:val="FAF640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7579F2"/>
    <w:multiLevelType w:val="multilevel"/>
    <w:tmpl w:val="5176AAFA"/>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lowerLetter"/>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550C6EBB"/>
    <w:multiLevelType w:val="multilevel"/>
    <w:tmpl w:val="38D6D01C"/>
    <w:lvl w:ilvl="0">
      <w:start w:val="1"/>
      <w:numFmt w:val="decimal"/>
      <w:lvlRestart w:val="0"/>
      <w:pStyle w:val="SPECPARANUM1"/>
      <w:suff w:val="space"/>
      <w:lvlText w:val="PART %1 "/>
      <w:lvlJc w:val="left"/>
      <w:pPr>
        <w:ind w:left="0" w:firstLine="0"/>
      </w:pPr>
      <w:rPr>
        <w:rFonts w:hint="default" w:ascii="Arial" w:hAnsi="Arial" w:cs="Arial"/>
        <w:b w:val="0"/>
        <w:i w:val="0"/>
        <w:vanish w:val="0"/>
        <w:sz w:val="20"/>
        <w:szCs w:val="20"/>
      </w:rPr>
    </w:lvl>
    <w:lvl w:ilvl="1">
      <w:start w:val="1"/>
      <w:numFmt w:val="decimal"/>
      <w:pStyle w:val="SPECPARANUM2"/>
      <w:lvlText w:val="%1.%2"/>
      <w:lvlJc w:val="left"/>
      <w:pPr>
        <w:tabs>
          <w:tab w:val="num" w:pos="648"/>
        </w:tabs>
        <w:ind w:left="1368" w:hanging="1368"/>
      </w:pPr>
      <w:rPr>
        <w:rFonts w:hint="default" w:ascii="Arial" w:hAnsi="Arial" w:cs="Arial"/>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SPECPARANUM3"/>
      <w:lvlText w:val="%3."/>
      <w:lvlJc w:val="left"/>
      <w:pPr>
        <w:tabs>
          <w:tab w:val="num" w:pos="648"/>
        </w:tabs>
        <w:ind w:left="648" w:hanging="504"/>
      </w:pPr>
      <w:rPr>
        <w:rFonts w:hint="default" w:ascii="Arial" w:hAnsi="Arial" w:cs="Arial"/>
        <w:b w:val="0"/>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PECPARANUM4"/>
      <w:lvlText w:val="%4."/>
      <w:lvlJc w:val="left"/>
      <w:pPr>
        <w:tabs>
          <w:tab w:val="num" w:pos="1080"/>
        </w:tabs>
        <w:ind w:left="1080" w:hanging="432"/>
      </w:pPr>
      <w:rPr>
        <w:rFonts w:hint="default" w:ascii="Arial" w:hAnsi="Arial" w:cs="Arial"/>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PECPARANUM5"/>
      <w:lvlText w:val="%5."/>
      <w:lvlJc w:val="left"/>
      <w:pPr>
        <w:tabs>
          <w:tab w:val="num" w:pos="1440"/>
        </w:tabs>
        <w:ind w:left="1440" w:hanging="360"/>
      </w:pPr>
      <w:rPr>
        <w:rFonts w:hint="default" w:ascii="Arial" w:hAnsi="Arial" w:cs="Arial"/>
        <w:b w:val="0"/>
        <w:i w:val="0"/>
        <w:sz w:val="20"/>
      </w:rPr>
    </w:lvl>
    <w:lvl w:ilvl="5">
      <w:start w:val="1"/>
      <w:numFmt w:val="decimal"/>
      <w:pStyle w:val="SPECPARANUM6"/>
      <w:lvlText w:val="%6)"/>
      <w:lvlJc w:val="left"/>
      <w:pPr>
        <w:tabs>
          <w:tab w:val="num" w:pos="1800"/>
        </w:tabs>
        <w:ind w:left="2376" w:hanging="936"/>
      </w:pPr>
      <w:rPr>
        <w:rFonts w:hint="default" w:ascii="Arial" w:hAnsi="Arial" w:cs="Arial"/>
        <w:b w:val="0"/>
        <w:i w:val="0"/>
        <w:sz w:val="20"/>
      </w:rPr>
    </w:lvl>
    <w:lvl w:ilvl="6">
      <w:start w:val="1"/>
      <w:numFmt w:val="decimal"/>
      <w:lvlText w:val="%7"/>
      <w:lvlJc w:val="left"/>
      <w:pPr>
        <w:tabs>
          <w:tab w:val="num" w:pos="-72"/>
        </w:tabs>
        <w:ind w:left="-72" w:firstLine="0"/>
      </w:pPr>
      <w:rPr>
        <w:rFonts w:hint="default"/>
      </w:rPr>
    </w:lvl>
    <w:lvl w:ilvl="7">
      <w:start w:val="1"/>
      <w:numFmt w:val="decimal"/>
      <w:lvlText w:val="%8"/>
      <w:lvlJc w:val="left"/>
      <w:pPr>
        <w:tabs>
          <w:tab w:val="num" w:pos="-72"/>
        </w:tabs>
        <w:ind w:left="-72" w:firstLine="0"/>
      </w:pPr>
      <w:rPr>
        <w:rFonts w:hint="default"/>
      </w:rPr>
    </w:lvl>
    <w:lvl w:ilvl="8">
      <w:numFmt w:val="decimal"/>
      <w:lvlText w:val=""/>
      <w:lvlJc w:val="left"/>
      <w:pPr>
        <w:tabs>
          <w:tab w:val="num" w:pos="-72"/>
        </w:tabs>
        <w:ind w:left="-72" w:firstLine="0"/>
      </w:pPr>
      <w:rPr>
        <w:rFonts w:hint="default"/>
      </w:rPr>
    </w:lvl>
  </w:abstractNum>
  <w:abstractNum w:abstractNumId="12" w15:restartNumberingAfterBreak="0">
    <w:nsid w:val="58D56AB1"/>
    <w:multiLevelType w:val="hybridMultilevel"/>
    <w:tmpl w:val="FFFFFFFF"/>
    <w:lvl w:ilvl="0" w:tplc="8AF699B2">
      <w:start w:val="1"/>
      <w:numFmt w:val="decimal"/>
      <w:lvlText w:val="PART %1 - "/>
      <w:lvlJc w:val="left"/>
      <w:pPr>
        <w:ind w:left="720" w:hanging="360"/>
      </w:pPr>
    </w:lvl>
    <w:lvl w:ilvl="1" w:tplc="EF7291B6">
      <w:start w:val="1"/>
      <w:numFmt w:val="lowerLetter"/>
      <w:lvlText w:val="%2."/>
      <w:lvlJc w:val="left"/>
      <w:pPr>
        <w:ind w:left="1440" w:hanging="360"/>
      </w:pPr>
    </w:lvl>
    <w:lvl w:ilvl="2" w:tplc="75DE58D2">
      <w:start w:val="1"/>
      <w:numFmt w:val="lowerRoman"/>
      <w:lvlText w:val="%3."/>
      <w:lvlJc w:val="right"/>
      <w:pPr>
        <w:ind w:left="2160" w:hanging="180"/>
      </w:pPr>
    </w:lvl>
    <w:lvl w:ilvl="3" w:tplc="E228A3DE">
      <w:start w:val="1"/>
      <w:numFmt w:val="decimal"/>
      <w:lvlText w:val="%4."/>
      <w:lvlJc w:val="left"/>
      <w:pPr>
        <w:ind w:left="2880" w:hanging="360"/>
      </w:pPr>
    </w:lvl>
    <w:lvl w:ilvl="4" w:tplc="2B0E2010">
      <w:start w:val="1"/>
      <w:numFmt w:val="lowerLetter"/>
      <w:lvlText w:val="%5."/>
      <w:lvlJc w:val="left"/>
      <w:pPr>
        <w:ind w:left="3600" w:hanging="360"/>
      </w:pPr>
    </w:lvl>
    <w:lvl w:ilvl="5" w:tplc="5F525DF8">
      <w:start w:val="1"/>
      <w:numFmt w:val="lowerRoman"/>
      <w:lvlText w:val="%6."/>
      <w:lvlJc w:val="right"/>
      <w:pPr>
        <w:ind w:left="4320" w:hanging="180"/>
      </w:pPr>
    </w:lvl>
    <w:lvl w:ilvl="6" w:tplc="57780992">
      <w:start w:val="1"/>
      <w:numFmt w:val="decimal"/>
      <w:lvlText w:val="%7."/>
      <w:lvlJc w:val="left"/>
      <w:pPr>
        <w:ind w:left="5040" w:hanging="360"/>
      </w:pPr>
    </w:lvl>
    <w:lvl w:ilvl="7" w:tplc="696CD5C8">
      <w:start w:val="1"/>
      <w:numFmt w:val="lowerLetter"/>
      <w:lvlText w:val="%8."/>
      <w:lvlJc w:val="left"/>
      <w:pPr>
        <w:ind w:left="5760" w:hanging="360"/>
      </w:pPr>
    </w:lvl>
    <w:lvl w:ilvl="8" w:tplc="00CE3BE8">
      <w:start w:val="1"/>
      <w:numFmt w:val="lowerRoman"/>
      <w:lvlText w:val="%9."/>
      <w:lvlJc w:val="right"/>
      <w:pPr>
        <w:ind w:left="6480" w:hanging="180"/>
      </w:pPr>
    </w:lvl>
  </w:abstractNum>
  <w:abstractNum w:abstractNumId="13" w15:restartNumberingAfterBreak="0">
    <w:nsid w:val="5B7E2B8A"/>
    <w:multiLevelType w:val="hybridMultilevel"/>
    <w:tmpl w:val="1F04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058D3"/>
    <w:multiLevelType w:val="hybridMultilevel"/>
    <w:tmpl w:val="FFFFFFFF"/>
    <w:lvl w:ilvl="0" w:tplc="2012D0E6">
      <w:start w:val="1"/>
      <w:numFmt w:val="decimal"/>
      <w:lvlText w:val="PART %1 - "/>
      <w:lvlJc w:val="left"/>
      <w:pPr>
        <w:ind w:left="720" w:hanging="360"/>
      </w:pPr>
    </w:lvl>
    <w:lvl w:ilvl="1" w:tplc="AC06FA0A">
      <w:start w:val="1"/>
      <w:numFmt w:val="lowerLetter"/>
      <w:lvlText w:val="%2."/>
      <w:lvlJc w:val="left"/>
      <w:pPr>
        <w:ind w:left="1440" w:hanging="360"/>
      </w:pPr>
    </w:lvl>
    <w:lvl w:ilvl="2" w:tplc="E9C26C6A">
      <w:start w:val="1"/>
      <w:numFmt w:val="lowerRoman"/>
      <w:lvlText w:val="%3."/>
      <w:lvlJc w:val="right"/>
      <w:pPr>
        <w:ind w:left="2160" w:hanging="180"/>
      </w:pPr>
    </w:lvl>
    <w:lvl w:ilvl="3" w:tplc="76E0D04E">
      <w:start w:val="1"/>
      <w:numFmt w:val="decimal"/>
      <w:lvlText w:val="%4."/>
      <w:lvlJc w:val="left"/>
      <w:pPr>
        <w:ind w:left="2880" w:hanging="360"/>
      </w:pPr>
    </w:lvl>
    <w:lvl w:ilvl="4" w:tplc="D14256BE">
      <w:start w:val="1"/>
      <w:numFmt w:val="lowerLetter"/>
      <w:lvlText w:val="%5."/>
      <w:lvlJc w:val="left"/>
      <w:pPr>
        <w:ind w:left="3600" w:hanging="360"/>
      </w:pPr>
    </w:lvl>
    <w:lvl w:ilvl="5" w:tplc="1D163F9E">
      <w:start w:val="1"/>
      <w:numFmt w:val="lowerRoman"/>
      <w:lvlText w:val="%6."/>
      <w:lvlJc w:val="right"/>
      <w:pPr>
        <w:ind w:left="4320" w:hanging="180"/>
      </w:pPr>
    </w:lvl>
    <w:lvl w:ilvl="6" w:tplc="03924120">
      <w:start w:val="1"/>
      <w:numFmt w:val="decimal"/>
      <w:lvlText w:val="%7."/>
      <w:lvlJc w:val="left"/>
      <w:pPr>
        <w:ind w:left="5040" w:hanging="360"/>
      </w:pPr>
    </w:lvl>
    <w:lvl w:ilvl="7" w:tplc="F19A337A">
      <w:start w:val="1"/>
      <w:numFmt w:val="lowerLetter"/>
      <w:lvlText w:val="%8."/>
      <w:lvlJc w:val="left"/>
      <w:pPr>
        <w:ind w:left="5760" w:hanging="360"/>
      </w:pPr>
    </w:lvl>
    <w:lvl w:ilvl="8" w:tplc="534CEF8E">
      <w:start w:val="1"/>
      <w:numFmt w:val="lowerRoman"/>
      <w:lvlText w:val="%9."/>
      <w:lvlJc w:val="right"/>
      <w:pPr>
        <w:ind w:left="6480" w:hanging="180"/>
      </w:pPr>
    </w:lvl>
  </w:abstractNum>
  <w:abstractNum w:abstractNumId="15" w15:restartNumberingAfterBreak="0">
    <w:nsid w:val="61AB6275"/>
    <w:multiLevelType w:val="hybridMultilevel"/>
    <w:tmpl w:val="FFFFFFFF"/>
    <w:lvl w:ilvl="0" w:tplc="448E5C5C">
      <w:start w:val="1"/>
      <w:numFmt w:val="decimal"/>
      <w:lvlText w:val="PART %1 - "/>
      <w:lvlJc w:val="left"/>
      <w:pPr>
        <w:ind w:left="720" w:hanging="360"/>
      </w:pPr>
    </w:lvl>
    <w:lvl w:ilvl="1" w:tplc="9056AE40">
      <w:start w:val="1"/>
      <w:numFmt w:val="lowerLetter"/>
      <w:lvlText w:val="%2."/>
      <w:lvlJc w:val="left"/>
      <w:pPr>
        <w:ind w:left="1440" w:hanging="360"/>
      </w:pPr>
    </w:lvl>
    <w:lvl w:ilvl="2" w:tplc="66E86F88">
      <w:start w:val="1"/>
      <w:numFmt w:val="lowerRoman"/>
      <w:lvlText w:val="%3."/>
      <w:lvlJc w:val="right"/>
      <w:pPr>
        <w:ind w:left="2160" w:hanging="180"/>
      </w:pPr>
    </w:lvl>
    <w:lvl w:ilvl="3" w:tplc="289430F0">
      <w:start w:val="1"/>
      <w:numFmt w:val="decimal"/>
      <w:lvlText w:val="%4."/>
      <w:lvlJc w:val="left"/>
      <w:pPr>
        <w:ind w:left="2880" w:hanging="360"/>
      </w:pPr>
    </w:lvl>
    <w:lvl w:ilvl="4" w:tplc="CF3E3726">
      <w:start w:val="1"/>
      <w:numFmt w:val="lowerLetter"/>
      <w:lvlText w:val="%5."/>
      <w:lvlJc w:val="left"/>
      <w:pPr>
        <w:ind w:left="3600" w:hanging="360"/>
      </w:pPr>
    </w:lvl>
    <w:lvl w:ilvl="5" w:tplc="30C8B062">
      <w:start w:val="1"/>
      <w:numFmt w:val="lowerRoman"/>
      <w:lvlText w:val="%6."/>
      <w:lvlJc w:val="right"/>
      <w:pPr>
        <w:ind w:left="4320" w:hanging="180"/>
      </w:pPr>
    </w:lvl>
    <w:lvl w:ilvl="6" w:tplc="51FA77A6">
      <w:start w:val="1"/>
      <w:numFmt w:val="decimal"/>
      <w:lvlText w:val="%7."/>
      <w:lvlJc w:val="left"/>
      <w:pPr>
        <w:ind w:left="5040" w:hanging="360"/>
      </w:pPr>
    </w:lvl>
    <w:lvl w:ilvl="7" w:tplc="9BF6BC36">
      <w:start w:val="1"/>
      <w:numFmt w:val="lowerLetter"/>
      <w:lvlText w:val="%8."/>
      <w:lvlJc w:val="left"/>
      <w:pPr>
        <w:ind w:left="5760" w:hanging="360"/>
      </w:pPr>
    </w:lvl>
    <w:lvl w:ilvl="8" w:tplc="E9F022D8">
      <w:start w:val="1"/>
      <w:numFmt w:val="lowerRoman"/>
      <w:lvlText w:val="%9."/>
      <w:lvlJc w:val="right"/>
      <w:pPr>
        <w:ind w:left="6480" w:hanging="180"/>
      </w:pPr>
    </w:lvl>
  </w:abstractNum>
  <w:abstractNum w:abstractNumId="16" w15:restartNumberingAfterBreak="0">
    <w:nsid w:val="6B507432"/>
    <w:multiLevelType w:val="hybridMultilevel"/>
    <w:tmpl w:val="FFFFFFFF"/>
    <w:lvl w:ilvl="0" w:tplc="2F1A4EF2">
      <w:start w:val="1"/>
      <w:numFmt w:val="decimal"/>
      <w:lvlText w:val="%1."/>
      <w:lvlJc w:val="left"/>
      <w:pPr>
        <w:ind w:left="720" w:hanging="360"/>
      </w:pPr>
    </w:lvl>
    <w:lvl w:ilvl="1" w:tplc="320AEF78">
      <w:start w:val="1"/>
      <w:numFmt w:val="lowerLetter"/>
      <w:lvlText w:val="%2."/>
      <w:lvlJc w:val="left"/>
      <w:pPr>
        <w:ind w:left="1440" w:hanging="360"/>
      </w:pPr>
    </w:lvl>
    <w:lvl w:ilvl="2" w:tplc="6A0225C0">
      <w:start w:val="1"/>
      <w:numFmt w:val="lowerRoman"/>
      <w:lvlText w:val="%3."/>
      <w:lvlJc w:val="right"/>
      <w:pPr>
        <w:ind w:left="2160" w:hanging="180"/>
      </w:pPr>
    </w:lvl>
    <w:lvl w:ilvl="3" w:tplc="BCA0ED4C">
      <w:start w:val="1"/>
      <w:numFmt w:val="decimal"/>
      <w:lvlText w:val="%4."/>
      <w:lvlJc w:val="left"/>
      <w:pPr>
        <w:ind w:left="2880" w:hanging="360"/>
      </w:pPr>
    </w:lvl>
    <w:lvl w:ilvl="4" w:tplc="2A16DEBA">
      <w:start w:val="1"/>
      <w:numFmt w:val="lowerLetter"/>
      <w:lvlText w:val="%5."/>
      <w:lvlJc w:val="left"/>
      <w:pPr>
        <w:ind w:left="3600" w:hanging="360"/>
      </w:pPr>
    </w:lvl>
    <w:lvl w:ilvl="5" w:tplc="1638A48E">
      <w:start w:val="1"/>
      <w:numFmt w:val="lowerRoman"/>
      <w:lvlText w:val="%6."/>
      <w:lvlJc w:val="right"/>
      <w:pPr>
        <w:ind w:left="4320" w:hanging="180"/>
      </w:pPr>
    </w:lvl>
    <w:lvl w:ilvl="6" w:tplc="6C3A859E">
      <w:start w:val="1"/>
      <w:numFmt w:val="decimal"/>
      <w:lvlText w:val="%7."/>
      <w:lvlJc w:val="left"/>
      <w:pPr>
        <w:ind w:left="5040" w:hanging="360"/>
      </w:pPr>
    </w:lvl>
    <w:lvl w:ilvl="7" w:tplc="A4C4A1C6">
      <w:start w:val="1"/>
      <w:numFmt w:val="lowerLetter"/>
      <w:lvlText w:val="%8."/>
      <w:lvlJc w:val="left"/>
      <w:pPr>
        <w:ind w:left="5760" w:hanging="360"/>
      </w:pPr>
    </w:lvl>
    <w:lvl w:ilvl="8" w:tplc="96A82EE6">
      <w:start w:val="1"/>
      <w:numFmt w:val="lowerRoman"/>
      <w:lvlText w:val="%9."/>
      <w:lvlJc w:val="right"/>
      <w:pPr>
        <w:ind w:left="6480" w:hanging="180"/>
      </w:pPr>
    </w:lvl>
  </w:abstractNum>
  <w:abstractNum w:abstractNumId="17" w15:restartNumberingAfterBreak="0">
    <w:nsid w:val="797725AA"/>
    <w:multiLevelType w:val="multilevel"/>
    <w:tmpl w:val="6E9E1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53210785">
    <w:abstractNumId w:val="1"/>
  </w:num>
  <w:num w:numId="2" w16cid:durableId="108013816">
    <w:abstractNumId w:val="11"/>
  </w:num>
  <w:num w:numId="3" w16cid:durableId="250897044">
    <w:abstractNumId w:val="5"/>
  </w:num>
  <w:num w:numId="4" w16cid:durableId="1957979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316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745693">
    <w:abstractNumId w:val="4"/>
  </w:num>
  <w:num w:numId="7" w16cid:durableId="1893494465">
    <w:abstractNumId w:val="9"/>
  </w:num>
  <w:num w:numId="8" w16cid:durableId="717239315">
    <w:abstractNumId w:val="8"/>
  </w:num>
  <w:num w:numId="9" w16cid:durableId="530189678">
    <w:abstractNumId w:val="17"/>
  </w:num>
  <w:num w:numId="10" w16cid:durableId="2132239343">
    <w:abstractNumId w:val="2"/>
  </w:num>
  <w:num w:numId="11" w16cid:durableId="233012978">
    <w:abstractNumId w:val="0"/>
  </w:num>
  <w:num w:numId="12" w16cid:durableId="1769352452">
    <w:abstractNumId w:val="14"/>
  </w:num>
  <w:num w:numId="13" w16cid:durableId="581063792">
    <w:abstractNumId w:val="15"/>
  </w:num>
  <w:num w:numId="14" w16cid:durableId="140126154">
    <w:abstractNumId w:val="12"/>
  </w:num>
  <w:num w:numId="15" w16cid:durableId="498420972">
    <w:abstractNumId w:val="16"/>
  </w:num>
  <w:num w:numId="16" w16cid:durableId="829104120">
    <w:abstractNumId w:val="6"/>
  </w:num>
  <w:num w:numId="17" w16cid:durableId="2021468117">
    <w:abstractNumId w:val="3"/>
  </w:num>
  <w:num w:numId="18" w16cid:durableId="1123234559">
    <w:abstractNumId w:val="1"/>
  </w:num>
  <w:num w:numId="19" w16cid:durableId="1649088488">
    <w:abstractNumId w:val="1"/>
  </w:num>
  <w:num w:numId="20" w16cid:durableId="790824307">
    <w:abstractNumId w:val="1"/>
  </w:num>
  <w:num w:numId="21" w16cid:durableId="1722708100">
    <w:abstractNumId w:val="1"/>
  </w:num>
  <w:num w:numId="22" w16cid:durableId="383335371">
    <w:abstractNumId w:val="1"/>
  </w:num>
  <w:num w:numId="23" w16cid:durableId="1300763445">
    <w:abstractNumId w:val="1"/>
  </w:num>
  <w:num w:numId="24" w16cid:durableId="991300296">
    <w:abstractNumId w:val="1"/>
  </w:num>
  <w:num w:numId="25" w16cid:durableId="1504660568">
    <w:abstractNumId w:val="1"/>
  </w:num>
  <w:num w:numId="26" w16cid:durableId="788085232">
    <w:abstractNumId w:val="13"/>
  </w:num>
  <w:num w:numId="27" w16cid:durableId="900823135">
    <w:abstractNumId w:val="7"/>
  </w:num>
  <w:num w:numId="28" w16cid:durableId="1676612766">
    <w:abstractNumId w:val="1"/>
  </w:num>
  <w:num w:numId="29" w16cid:durableId="222062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Reddy">
    <w15:presenceInfo w15:providerId="AD" w15:userId="S::David@obrien360.com::237fbbba-2157-4251-a2c8-8a9b1b8e9ff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14"/>
    <w:rsid w:val="0000065E"/>
    <w:rsid w:val="00000B6C"/>
    <w:rsid w:val="000018BF"/>
    <w:rsid w:val="00001BDD"/>
    <w:rsid w:val="000021A8"/>
    <w:rsid w:val="000028FD"/>
    <w:rsid w:val="00004170"/>
    <w:rsid w:val="00004F47"/>
    <w:rsid w:val="000056CC"/>
    <w:rsid w:val="000058DE"/>
    <w:rsid w:val="000110AC"/>
    <w:rsid w:val="000119CB"/>
    <w:rsid w:val="000130AC"/>
    <w:rsid w:val="00013A48"/>
    <w:rsid w:val="00014F1E"/>
    <w:rsid w:val="00015CD0"/>
    <w:rsid w:val="000174E2"/>
    <w:rsid w:val="00020058"/>
    <w:rsid w:val="00020B26"/>
    <w:rsid w:val="00020E04"/>
    <w:rsid w:val="000223F2"/>
    <w:rsid w:val="00023511"/>
    <w:rsid w:val="000237EB"/>
    <w:rsid w:val="000247C2"/>
    <w:rsid w:val="00024E93"/>
    <w:rsid w:val="000252A6"/>
    <w:rsid w:val="00025BD6"/>
    <w:rsid w:val="00026520"/>
    <w:rsid w:val="00030382"/>
    <w:rsid w:val="00030E49"/>
    <w:rsid w:val="000327A3"/>
    <w:rsid w:val="000332F3"/>
    <w:rsid w:val="00036254"/>
    <w:rsid w:val="000414AB"/>
    <w:rsid w:val="000418A7"/>
    <w:rsid w:val="00050B46"/>
    <w:rsid w:val="00050E00"/>
    <w:rsid w:val="00051C05"/>
    <w:rsid w:val="00051CD7"/>
    <w:rsid w:val="000554C8"/>
    <w:rsid w:val="0005698F"/>
    <w:rsid w:val="00057F5C"/>
    <w:rsid w:val="00064EB5"/>
    <w:rsid w:val="000654F4"/>
    <w:rsid w:val="000658B5"/>
    <w:rsid w:val="000663B7"/>
    <w:rsid w:val="00066701"/>
    <w:rsid w:val="0006678E"/>
    <w:rsid w:val="00066B62"/>
    <w:rsid w:val="00070C5D"/>
    <w:rsid w:val="00071143"/>
    <w:rsid w:val="00071F6B"/>
    <w:rsid w:val="00073E21"/>
    <w:rsid w:val="000754EE"/>
    <w:rsid w:val="00075766"/>
    <w:rsid w:val="00076891"/>
    <w:rsid w:val="00077B7C"/>
    <w:rsid w:val="0008042B"/>
    <w:rsid w:val="000806C6"/>
    <w:rsid w:val="000808E7"/>
    <w:rsid w:val="00080A33"/>
    <w:rsid w:val="00080B66"/>
    <w:rsid w:val="00081885"/>
    <w:rsid w:val="000829F8"/>
    <w:rsid w:val="00083898"/>
    <w:rsid w:val="00084103"/>
    <w:rsid w:val="00084A4F"/>
    <w:rsid w:val="00085289"/>
    <w:rsid w:val="00085CE7"/>
    <w:rsid w:val="0008680F"/>
    <w:rsid w:val="00090D4C"/>
    <w:rsid w:val="00095F70"/>
    <w:rsid w:val="00097F07"/>
    <w:rsid w:val="000A07DA"/>
    <w:rsid w:val="000A2091"/>
    <w:rsid w:val="000A2691"/>
    <w:rsid w:val="000A43DB"/>
    <w:rsid w:val="000A57F1"/>
    <w:rsid w:val="000A72AD"/>
    <w:rsid w:val="000B0033"/>
    <w:rsid w:val="000B0FD4"/>
    <w:rsid w:val="000B21CC"/>
    <w:rsid w:val="000B243B"/>
    <w:rsid w:val="000B3289"/>
    <w:rsid w:val="000B7DEC"/>
    <w:rsid w:val="000C104D"/>
    <w:rsid w:val="000C10D9"/>
    <w:rsid w:val="000C16AB"/>
    <w:rsid w:val="000C1807"/>
    <w:rsid w:val="000C4339"/>
    <w:rsid w:val="000C51DE"/>
    <w:rsid w:val="000C5EF2"/>
    <w:rsid w:val="000C7D92"/>
    <w:rsid w:val="000D0875"/>
    <w:rsid w:val="000D41DC"/>
    <w:rsid w:val="000D4470"/>
    <w:rsid w:val="000D483A"/>
    <w:rsid w:val="000D6329"/>
    <w:rsid w:val="000D6AE4"/>
    <w:rsid w:val="000D6D93"/>
    <w:rsid w:val="000D768B"/>
    <w:rsid w:val="000E2EE9"/>
    <w:rsid w:val="000E51E6"/>
    <w:rsid w:val="000E53E3"/>
    <w:rsid w:val="000E59B4"/>
    <w:rsid w:val="000E5C01"/>
    <w:rsid w:val="000E6D5A"/>
    <w:rsid w:val="000E7171"/>
    <w:rsid w:val="000E7AAE"/>
    <w:rsid w:val="000E7D42"/>
    <w:rsid w:val="000E7ED7"/>
    <w:rsid w:val="000F1B02"/>
    <w:rsid w:val="000F2021"/>
    <w:rsid w:val="000F25BF"/>
    <w:rsid w:val="000F308C"/>
    <w:rsid w:val="000F3B12"/>
    <w:rsid w:val="000F4559"/>
    <w:rsid w:val="000F4E34"/>
    <w:rsid w:val="000F50D3"/>
    <w:rsid w:val="000F6A00"/>
    <w:rsid w:val="000F7696"/>
    <w:rsid w:val="000F7952"/>
    <w:rsid w:val="00100062"/>
    <w:rsid w:val="001035A7"/>
    <w:rsid w:val="00104385"/>
    <w:rsid w:val="00104478"/>
    <w:rsid w:val="001052CD"/>
    <w:rsid w:val="001054F7"/>
    <w:rsid w:val="0011000F"/>
    <w:rsid w:val="00111453"/>
    <w:rsid w:val="001115B1"/>
    <w:rsid w:val="00111D31"/>
    <w:rsid w:val="0011401A"/>
    <w:rsid w:val="00115413"/>
    <w:rsid w:val="00121BC0"/>
    <w:rsid w:val="00122159"/>
    <w:rsid w:val="00122AB8"/>
    <w:rsid w:val="00123036"/>
    <w:rsid w:val="00130082"/>
    <w:rsid w:val="00131024"/>
    <w:rsid w:val="00131AFD"/>
    <w:rsid w:val="00133B70"/>
    <w:rsid w:val="00133E29"/>
    <w:rsid w:val="00134F65"/>
    <w:rsid w:val="00137FFC"/>
    <w:rsid w:val="00140832"/>
    <w:rsid w:val="00142535"/>
    <w:rsid w:val="00142F1E"/>
    <w:rsid w:val="00143C6F"/>
    <w:rsid w:val="00143CB9"/>
    <w:rsid w:val="001448A7"/>
    <w:rsid w:val="001464B4"/>
    <w:rsid w:val="0014707B"/>
    <w:rsid w:val="00150555"/>
    <w:rsid w:val="00150D38"/>
    <w:rsid w:val="00152C46"/>
    <w:rsid w:val="00153500"/>
    <w:rsid w:val="0015475A"/>
    <w:rsid w:val="00155BDA"/>
    <w:rsid w:val="001577CA"/>
    <w:rsid w:val="001579FE"/>
    <w:rsid w:val="00160294"/>
    <w:rsid w:val="00163D18"/>
    <w:rsid w:val="00166C5A"/>
    <w:rsid w:val="001713E1"/>
    <w:rsid w:val="00172460"/>
    <w:rsid w:val="00172650"/>
    <w:rsid w:val="001729A9"/>
    <w:rsid w:val="00174ADC"/>
    <w:rsid w:val="00175BF8"/>
    <w:rsid w:val="00176C17"/>
    <w:rsid w:val="00177A4E"/>
    <w:rsid w:val="00180EB2"/>
    <w:rsid w:val="001812E3"/>
    <w:rsid w:val="0018258B"/>
    <w:rsid w:val="00182F7A"/>
    <w:rsid w:val="00183D99"/>
    <w:rsid w:val="00186049"/>
    <w:rsid w:val="0019167E"/>
    <w:rsid w:val="00192506"/>
    <w:rsid w:val="001929D8"/>
    <w:rsid w:val="0019326C"/>
    <w:rsid w:val="001A0307"/>
    <w:rsid w:val="001A1507"/>
    <w:rsid w:val="001A34E7"/>
    <w:rsid w:val="001A4DBD"/>
    <w:rsid w:val="001A4E7E"/>
    <w:rsid w:val="001A6789"/>
    <w:rsid w:val="001A793B"/>
    <w:rsid w:val="001B182D"/>
    <w:rsid w:val="001B31B8"/>
    <w:rsid w:val="001B3E94"/>
    <w:rsid w:val="001B5BA6"/>
    <w:rsid w:val="001C0D8F"/>
    <w:rsid w:val="001C159F"/>
    <w:rsid w:val="001C2421"/>
    <w:rsid w:val="001C33B7"/>
    <w:rsid w:val="001C3B33"/>
    <w:rsid w:val="001C477E"/>
    <w:rsid w:val="001C5497"/>
    <w:rsid w:val="001C5527"/>
    <w:rsid w:val="001D01D9"/>
    <w:rsid w:val="001D07DF"/>
    <w:rsid w:val="001D3A2D"/>
    <w:rsid w:val="001D711A"/>
    <w:rsid w:val="001D7BC8"/>
    <w:rsid w:val="001D7EB8"/>
    <w:rsid w:val="001E1734"/>
    <w:rsid w:val="001E26BC"/>
    <w:rsid w:val="001E286B"/>
    <w:rsid w:val="001E318D"/>
    <w:rsid w:val="001E3373"/>
    <w:rsid w:val="001E4236"/>
    <w:rsid w:val="001E5952"/>
    <w:rsid w:val="001E6AF6"/>
    <w:rsid w:val="001E6B7C"/>
    <w:rsid w:val="001E73F8"/>
    <w:rsid w:val="001E743E"/>
    <w:rsid w:val="001F0265"/>
    <w:rsid w:val="001F2246"/>
    <w:rsid w:val="001F2D54"/>
    <w:rsid w:val="001F3465"/>
    <w:rsid w:val="001F3C54"/>
    <w:rsid w:val="001F4AA9"/>
    <w:rsid w:val="001F5AA5"/>
    <w:rsid w:val="001F7FD3"/>
    <w:rsid w:val="00200295"/>
    <w:rsid w:val="00200FF4"/>
    <w:rsid w:val="0020298B"/>
    <w:rsid w:val="00203FF9"/>
    <w:rsid w:val="00204636"/>
    <w:rsid w:val="00205D70"/>
    <w:rsid w:val="00206660"/>
    <w:rsid w:val="00207154"/>
    <w:rsid w:val="0021104D"/>
    <w:rsid w:val="002113A2"/>
    <w:rsid w:val="0021298C"/>
    <w:rsid w:val="00213F5A"/>
    <w:rsid w:val="002140D5"/>
    <w:rsid w:val="00215CDA"/>
    <w:rsid w:val="002160EF"/>
    <w:rsid w:val="0022076D"/>
    <w:rsid w:val="002229F2"/>
    <w:rsid w:val="00222EA6"/>
    <w:rsid w:val="00223CC9"/>
    <w:rsid w:val="00225ED2"/>
    <w:rsid w:val="00227D04"/>
    <w:rsid w:val="0023372C"/>
    <w:rsid w:val="00241807"/>
    <w:rsid w:val="002418FA"/>
    <w:rsid w:val="002442BA"/>
    <w:rsid w:val="00245127"/>
    <w:rsid w:val="00245194"/>
    <w:rsid w:val="00245398"/>
    <w:rsid w:val="00246222"/>
    <w:rsid w:val="00246F4A"/>
    <w:rsid w:val="0024752C"/>
    <w:rsid w:val="00247830"/>
    <w:rsid w:val="0025073B"/>
    <w:rsid w:val="002517E3"/>
    <w:rsid w:val="0025225D"/>
    <w:rsid w:val="002524AA"/>
    <w:rsid w:val="00255EFC"/>
    <w:rsid w:val="002611E8"/>
    <w:rsid w:val="0026204F"/>
    <w:rsid w:val="00262178"/>
    <w:rsid w:val="00262985"/>
    <w:rsid w:val="00262BA2"/>
    <w:rsid w:val="00262FB0"/>
    <w:rsid w:val="0026446D"/>
    <w:rsid w:val="00264966"/>
    <w:rsid w:val="0026561F"/>
    <w:rsid w:val="002660B9"/>
    <w:rsid w:val="002675BF"/>
    <w:rsid w:val="00267981"/>
    <w:rsid w:val="00271636"/>
    <w:rsid w:val="0027222F"/>
    <w:rsid w:val="00273733"/>
    <w:rsid w:val="002758DC"/>
    <w:rsid w:val="00276009"/>
    <w:rsid w:val="002760EC"/>
    <w:rsid w:val="002773E3"/>
    <w:rsid w:val="00277C3E"/>
    <w:rsid w:val="00280A7B"/>
    <w:rsid w:val="002815D3"/>
    <w:rsid w:val="0028233B"/>
    <w:rsid w:val="00282C2E"/>
    <w:rsid w:val="00282DB5"/>
    <w:rsid w:val="00284542"/>
    <w:rsid w:val="0028481F"/>
    <w:rsid w:val="002851A7"/>
    <w:rsid w:val="0029020C"/>
    <w:rsid w:val="002906D7"/>
    <w:rsid w:val="00290AA4"/>
    <w:rsid w:val="00290DC5"/>
    <w:rsid w:val="002921AB"/>
    <w:rsid w:val="00292C12"/>
    <w:rsid w:val="0029410B"/>
    <w:rsid w:val="00294DD0"/>
    <w:rsid w:val="002963CF"/>
    <w:rsid w:val="00296C77"/>
    <w:rsid w:val="002A055D"/>
    <w:rsid w:val="002A4612"/>
    <w:rsid w:val="002A4AC3"/>
    <w:rsid w:val="002A66D1"/>
    <w:rsid w:val="002A676D"/>
    <w:rsid w:val="002A7BED"/>
    <w:rsid w:val="002B145B"/>
    <w:rsid w:val="002B15C6"/>
    <w:rsid w:val="002B2F8B"/>
    <w:rsid w:val="002B3485"/>
    <w:rsid w:val="002B3DF2"/>
    <w:rsid w:val="002B3F29"/>
    <w:rsid w:val="002B55FB"/>
    <w:rsid w:val="002B68BB"/>
    <w:rsid w:val="002B6E04"/>
    <w:rsid w:val="002B7F5A"/>
    <w:rsid w:val="002B7F5E"/>
    <w:rsid w:val="002C13B5"/>
    <w:rsid w:val="002C1F92"/>
    <w:rsid w:val="002C287C"/>
    <w:rsid w:val="002C3A0B"/>
    <w:rsid w:val="002C3BF5"/>
    <w:rsid w:val="002C431C"/>
    <w:rsid w:val="002C49D9"/>
    <w:rsid w:val="002C4EFD"/>
    <w:rsid w:val="002C585C"/>
    <w:rsid w:val="002D194E"/>
    <w:rsid w:val="002D2FA4"/>
    <w:rsid w:val="002D4B5C"/>
    <w:rsid w:val="002D65BE"/>
    <w:rsid w:val="002D736F"/>
    <w:rsid w:val="002D784A"/>
    <w:rsid w:val="002D797E"/>
    <w:rsid w:val="002D7A23"/>
    <w:rsid w:val="002E15CE"/>
    <w:rsid w:val="002E1A49"/>
    <w:rsid w:val="002E1EAB"/>
    <w:rsid w:val="002E314B"/>
    <w:rsid w:val="002E38D6"/>
    <w:rsid w:val="002E3978"/>
    <w:rsid w:val="002E3BC3"/>
    <w:rsid w:val="002E54B8"/>
    <w:rsid w:val="002E715F"/>
    <w:rsid w:val="002E7BA3"/>
    <w:rsid w:val="002F1053"/>
    <w:rsid w:val="002F1383"/>
    <w:rsid w:val="002F189A"/>
    <w:rsid w:val="002F1938"/>
    <w:rsid w:val="002F1BC3"/>
    <w:rsid w:val="002F3B52"/>
    <w:rsid w:val="002F4B27"/>
    <w:rsid w:val="002F56D9"/>
    <w:rsid w:val="002F7BF5"/>
    <w:rsid w:val="0030165F"/>
    <w:rsid w:val="003038DC"/>
    <w:rsid w:val="00303E23"/>
    <w:rsid w:val="00305043"/>
    <w:rsid w:val="00306F94"/>
    <w:rsid w:val="003071BB"/>
    <w:rsid w:val="0031030F"/>
    <w:rsid w:val="00310B87"/>
    <w:rsid w:val="00312C41"/>
    <w:rsid w:val="003161BB"/>
    <w:rsid w:val="00316A5D"/>
    <w:rsid w:val="00316C9A"/>
    <w:rsid w:val="00317132"/>
    <w:rsid w:val="00320338"/>
    <w:rsid w:val="00320858"/>
    <w:rsid w:val="0032350E"/>
    <w:rsid w:val="00323E21"/>
    <w:rsid w:val="00323E7C"/>
    <w:rsid w:val="00325109"/>
    <w:rsid w:val="0032575A"/>
    <w:rsid w:val="00326276"/>
    <w:rsid w:val="003269CA"/>
    <w:rsid w:val="00327321"/>
    <w:rsid w:val="003300A1"/>
    <w:rsid w:val="0033184D"/>
    <w:rsid w:val="00331EE6"/>
    <w:rsid w:val="00334EDE"/>
    <w:rsid w:val="00335659"/>
    <w:rsid w:val="00336AE9"/>
    <w:rsid w:val="003409DE"/>
    <w:rsid w:val="003416A1"/>
    <w:rsid w:val="00342175"/>
    <w:rsid w:val="00342F3A"/>
    <w:rsid w:val="00343420"/>
    <w:rsid w:val="00343CAA"/>
    <w:rsid w:val="00343F63"/>
    <w:rsid w:val="00345A80"/>
    <w:rsid w:val="00345CE3"/>
    <w:rsid w:val="00347B4B"/>
    <w:rsid w:val="00347E88"/>
    <w:rsid w:val="003534A1"/>
    <w:rsid w:val="00354B3A"/>
    <w:rsid w:val="00356773"/>
    <w:rsid w:val="00357A39"/>
    <w:rsid w:val="0035B3F5"/>
    <w:rsid w:val="0036070C"/>
    <w:rsid w:val="003607FE"/>
    <w:rsid w:val="0036366E"/>
    <w:rsid w:val="003637CD"/>
    <w:rsid w:val="00364760"/>
    <w:rsid w:val="003653FC"/>
    <w:rsid w:val="0036574B"/>
    <w:rsid w:val="003657FF"/>
    <w:rsid w:val="00367E22"/>
    <w:rsid w:val="00370642"/>
    <w:rsid w:val="00371D1B"/>
    <w:rsid w:val="00373A3A"/>
    <w:rsid w:val="0037466C"/>
    <w:rsid w:val="003754B1"/>
    <w:rsid w:val="00375CDD"/>
    <w:rsid w:val="003778EF"/>
    <w:rsid w:val="00380F7D"/>
    <w:rsid w:val="003825D3"/>
    <w:rsid w:val="00382A7A"/>
    <w:rsid w:val="00382FB7"/>
    <w:rsid w:val="00383394"/>
    <w:rsid w:val="00385B9E"/>
    <w:rsid w:val="00385DDF"/>
    <w:rsid w:val="003876E8"/>
    <w:rsid w:val="00390011"/>
    <w:rsid w:val="003927A7"/>
    <w:rsid w:val="0039298D"/>
    <w:rsid w:val="00392B62"/>
    <w:rsid w:val="0039302E"/>
    <w:rsid w:val="003937B7"/>
    <w:rsid w:val="003939F4"/>
    <w:rsid w:val="0039426C"/>
    <w:rsid w:val="003953B0"/>
    <w:rsid w:val="0039555C"/>
    <w:rsid w:val="00395806"/>
    <w:rsid w:val="00396014"/>
    <w:rsid w:val="003965D5"/>
    <w:rsid w:val="00396C57"/>
    <w:rsid w:val="003A18F2"/>
    <w:rsid w:val="003A1E86"/>
    <w:rsid w:val="003A40E0"/>
    <w:rsid w:val="003A6413"/>
    <w:rsid w:val="003B0A88"/>
    <w:rsid w:val="003B1C11"/>
    <w:rsid w:val="003B1DDE"/>
    <w:rsid w:val="003B3839"/>
    <w:rsid w:val="003B38E0"/>
    <w:rsid w:val="003B4F28"/>
    <w:rsid w:val="003B6C73"/>
    <w:rsid w:val="003B6D93"/>
    <w:rsid w:val="003B716D"/>
    <w:rsid w:val="003C00FF"/>
    <w:rsid w:val="003C0321"/>
    <w:rsid w:val="003C05AD"/>
    <w:rsid w:val="003C1D6C"/>
    <w:rsid w:val="003C73BB"/>
    <w:rsid w:val="003C7DBC"/>
    <w:rsid w:val="003D12B1"/>
    <w:rsid w:val="003D19A1"/>
    <w:rsid w:val="003D2FE1"/>
    <w:rsid w:val="003D39F7"/>
    <w:rsid w:val="003D3C82"/>
    <w:rsid w:val="003D4121"/>
    <w:rsid w:val="003D4321"/>
    <w:rsid w:val="003D6181"/>
    <w:rsid w:val="003D66C7"/>
    <w:rsid w:val="003D71EF"/>
    <w:rsid w:val="003D73B8"/>
    <w:rsid w:val="003E0455"/>
    <w:rsid w:val="003E1C71"/>
    <w:rsid w:val="003E23F4"/>
    <w:rsid w:val="003E3070"/>
    <w:rsid w:val="003E44E9"/>
    <w:rsid w:val="003E4DD6"/>
    <w:rsid w:val="003E5102"/>
    <w:rsid w:val="003E5F82"/>
    <w:rsid w:val="003E7473"/>
    <w:rsid w:val="003E7C2B"/>
    <w:rsid w:val="003E7F34"/>
    <w:rsid w:val="003F0430"/>
    <w:rsid w:val="003F2D18"/>
    <w:rsid w:val="003F322F"/>
    <w:rsid w:val="003F3A3E"/>
    <w:rsid w:val="003F4683"/>
    <w:rsid w:val="003F4EDF"/>
    <w:rsid w:val="003F57C3"/>
    <w:rsid w:val="003F6231"/>
    <w:rsid w:val="0040073D"/>
    <w:rsid w:val="0040084C"/>
    <w:rsid w:val="0040103A"/>
    <w:rsid w:val="00401E3A"/>
    <w:rsid w:val="00402EA5"/>
    <w:rsid w:val="0040321A"/>
    <w:rsid w:val="00404B11"/>
    <w:rsid w:val="0040563E"/>
    <w:rsid w:val="00407AE7"/>
    <w:rsid w:val="00411F47"/>
    <w:rsid w:val="00412368"/>
    <w:rsid w:val="00414834"/>
    <w:rsid w:val="0041514D"/>
    <w:rsid w:val="004215CF"/>
    <w:rsid w:val="0042205C"/>
    <w:rsid w:val="0042258C"/>
    <w:rsid w:val="00423394"/>
    <w:rsid w:val="00423DA1"/>
    <w:rsid w:val="0042502D"/>
    <w:rsid w:val="00425637"/>
    <w:rsid w:val="004278D1"/>
    <w:rsid w:val="00430916"/>
    <w:rsid w:val="00430EB4"/>
    <w:rsid w:val="004318EA"/>
    <w:rsid w:val="00433257"/>
    <w:rsid w:val="004344E1"/>
    <w:rsid w:val="0043574B"/>
    <w:rsid w:val="00437CCF"/>
    <w:rsid w:val="004401AD"/>
    <w:rsid w:val="00441727"/>
    <w:rsid w:val="00442AB0"/>
    <w:rsid w:val="00443A52"/>
    <w:rsid w:val="00445323"/>
    <w:rsid w:val="004505D2"/>
    <w:rsid w:val="00452640"/>
    <w:rsid w:val="0045330F"/>
    <w:rsid w:val="00453895"/>
    <w:rsid w:val="00454653"/>
    <w:rsid w:val="00455A77"/>
    <w:rsid w:val="0045634D"/>
    <w:rsid w:val="004573C3"/>
    <w:rsid w:val="0046036B"/>
    <w:rsid w:val="004608EF"/>
    <w:rsid w:val="00460DE5"/>
    <w:rsid w:val="00461725"/>
    <w:rsid w:val="00461803"/>
    <w:rsid w:val="00463044"/>
    <w:rsid w:val="00463E86"/>
    <w:rsid w:val="0046526D"/>
    <w:rsid w:val="00465304"/>
    <w:rsid w:val="00465327"/>
    <w:rsid w:val="00465CD2"/>
    <w:rsid w:val="00470431"/>
    <w:rsid w:val="00470515"/>
    <w:rsid w:val="00470A5A"/>
    <w:rsid w:val="00470E80"/>
    <w:rsid w:val="00472169"/>
    <w:rsid w:val="004722D7"/>
    <w:rsid w:val="00473292"/>
    <w:rsid w:val="004732CE"/>
    <w:rsid w:val="00473A66"/>
    <w:rsid w:val="0047482F"/>
    <w:rsid w:val="00474BC9"/>
    <w:rsid w:val="00474BE5"/>
    <w:rsid w:val="004774A1"/>
    <w:rsid w:val="00481001"/>
    <w:rsid w:val="0048111E"/>
    <w:rsid w:val="004829C7"/>
    <w:rsid w:val="004836A2"/>
    <w:rsid w:val="00483F31"/>
    <w:rsid w:val="00484589"/>
    <w:rsid w:val="004862E8"/>
    <w:rsid w:val="0048676D"/>
    <w:rsid w:val="00486B43"/>
    <w:rsid w:val="00490541"/>
    <w:rsid w:val="004906BD"/>
    <w:rsid w:val="00490B8B"/>
    <w:rsid w:val="00493D08"/>
    <w:rsid w:val="00494637"/>
    <w:rsid w:val="004957B7"/>
    <w:rsid w:val="004968CA"/>
    <w:rsid w:val="004A008E"/>
    <w:rsid w:val="004A1231"/>
    <w:rsid w:val="004A1E05"/>
    <w:rsid w:val="004A2427"/>
    <w:rsid w:val="004A3738"/>
    <w:rsid w:val="004A3B07"/>
    <w:rsid w:val="004A5C64"/>
    <w:rsid w:val="004A653D"/>
    <w:rsid w:val="004A7217"/>
    <w:rsid w:val="004A7E5E"/>
    <w:rsid w:val="004B329E"/>
    <w:rsid w:val="004B3DCB"/>
    <w:rsid w:val="004B5A61"/>
    <w:rsid w:val="004C215E"/>
    <w:rsid w:val="004C7C7E"/>
    <w:rsid w:val="004C7F97"/>
    <w:rsid w:val="004D1300"/>
    <w:rsid w:val="004D2F97"/>
    <w:rsid w:val="004D3F90"/>
    <w:rsid w:val="004D40F4"/>
    <w:rsid w:val="004D4E9A"/>
    <w:rsid w:val="004D5186"/>
    <w:rsid w:val="004D559C"/>
    <w:rsid w:val="004D7066"/>
    <w:rsid w:val="004D7962"/>
    <w:rsid w:val="004E017B"/>
    <w:rsid w:val="004E0B41"/>
    <w:rsid w:val="004E4664"/>
    <w:rsid w:val="004E4C5A"/>
    <w:rsid w:val="004E5027"/>
    <w:rsid w:val="004E5418"/>
    <w:rsid w:val="004E66BF"/>
    <w:rsid w:val="004E6E4E"/>
    <w:rsid w:val="004E78EB"/>
    <w:rsid w:val="004F1760"/>
    <w:rsid w:val="004F2119"/>
    <w:rsid w:val="004F4CBF"/>
    <w:rsid w:val="004F56BE"/>
    <w:rsid w:val="0050478D"/>
    <w:rsid w:val="00504BE4"/>
    <w:rsid w:val="00505368"/>
    <w:rsid w:val="00506D66"/>
    <w:rsid w:val="005113B8"/>
    <w:rsid w:val="00511FE9"/>
    <w:rsid w:val="00513F65"/>
    <w:rsid w:val="00514395"/>
    <w:rsid w:val="00515913"/>
    <w:rsid w:val="00517BE8"/>
    <w:rsid w:val="00521B91"/>
    <w:rsid w:val="005224EE"/>
    <w:rsid w:val="00522637"/>
    <w:rsid w:val="005226CF"/>
    <w:rsid w:val="00523AA6"/>
    <w:rsid w:val="0052540B"/>
    <w:rsid w:val="0052571D"/>
    <w:rsid w:val="00526198"/>
    <w:rsid w:val="005313EA"/>
    <w:rsid w:val="0053255E"/>
    <w:rsid w:val="005347A6"/>
    <w:rsid w:val="0053799C"/>
    <w:rsid w:val="00537C86"/>
    <w:rsid w:val="00537D54"/>
    <w:rsid w:val="00540A00"/>
    <w:rsid w:val="00541076"/>
    <w:rsid w:val="005419F9"/>
    <w:rsid w:val="00543134"/>
    <w:rsid w:val="00544597"/>
    <w:rsid w:val="00545580"/>
    <w:rsid w:val="00550358"/>
    <w:rsid w:val="00550FD7"/>
    <w:rsid w:val="00551794"/>
    <w:rsid w:val="00551B79"/>
    <w:rsid w:val="005554F2"/>
    <w:rsid w:val="005564EE"/>
    <w:rsid w:val="0055662E"/>
    <w:rsid w:val="0055764C"/>
    <w:rsid w:val="005576AE"/>
    <w:rsid w:val="005609CA"/>
    <w:rsid w:val="00560A83"/>
    <w:rsid w:val="005630CD"/>
    <w:rsid w:val="0056707B"/>
    <w:rsid w:val="005671EF"/>
    <w:rsid w:val="00567E06"/>
    <w:rsid w:val="0057260F"/>
    <w:rsid w:val="005757ED"/>
    <w:rsid w:val="00575863"/>
    <w:rsid w:val="00576104"/>
    <w:rsid w:val="00577AC2"/>
    <w:rsid w:val="005812AC"/>
    <w:rsid w:val="00581637"/>
    <w:rsid w:val="00582F1E"/>
    <w:rsid w:val="0058327B"/>
    <w:rsid w:val="00583F80"/>
    <w:rsid w:val="00584009"/>
    <w:rsid w:val="00584CC2"/>
    <w:rsid w:val="00586010"/>
    <w:rsid w:val="00586722"/>
    <w:rsid w:val="0058673F"/>
    <w:rsid w:val="0058750B"/>
    <w:rsid w:val="005902BA"/>
    <w:rsid w:val="005908F0"/>
    <w:rsid w:val="00590944"/>
    <w:rsid w:val="00592C50"/>
    <w:rsid w:val="00593566"/>
    <w:rsid w:val="00593BC0"/>
    <w:rsid w:val="00593FEC"/>
    <w:rsid w:val="00595529"/>
    <w:rsid w:val="00595E1F"/>
    <w:rsid w:val="005974A9"/>
    <w:rsid w:val="005A220E"/>
    <w:rsid w:val="005A2625"/>
    <w:rsid w:val="005A29E3"/>
    <w:rsid w:val="005A38F3"/>
    <w:rsid w:val="005A44ED"/>
    <w:rsid w:val="005A4A1A"/>
    <w:rsid w:val="005A62DA"/>
    <w:rsid w:val="005A7393"/>
    <w:rsid w:val="005B29CA"/>
    <w:rsid w:val="005B35D5"/>
    <w:rsid w:val="005B5400"/>
    <w:rsid w:val="005B7803"/>
    <w:rsid w:val="005C06C7"/>
    <w:rsid w:val="005C167A"/>
    <w:rsid w:val="005C22AD"/>
    <w:rsid w:val="005C25E7"/>
    <w:rsid w:val="005C4305"/>
    <w:rsid w:val="005C5192"/>
    <w:rsid w:val="005C64E2"/>
    <w:rsid w:val="005C78EE"/>
    <w:rsid w:val="005C7A5E"/>
    <w:rsid w:val="005D1F1D"/>
    <w:rsid w:val="005D2B11"/>
    <w:rsid w:val="005D5C1D"/>
    <w:rsid w:val="005D60CE"/>
    <w:rsid w:val="005D6CA8"/>
    <w:rsid w:val="005D7DDC"/>
    <w:rsid w:val="005E01C4"/>
    <w:rsid w:val="005E0658"/>
    <w:rsid w:val="005E0DDB"/>
    <w:rsid w:val="005E1308"/>
    <w:rsid w:val="005E166C"/>
    <w:rsid w:val="005E2142"/>
    <w:rsid w:val="005E3232"/>
    <w:rsid w:val="005E4B30"/>
    <w:rsid w:val="005E4C65"/>
    <w:rsid w:val="005E504A"/>
    <w:rsid w:val="005E7266"/>
    <w:rsid w:val="005EE839"/>
    <w:rsid w:val="005F6603"/>
    <w:rsid w:val="0060074E"/>
    <w:rsid w:val="006019AD"/>
    <w:rsid w:val="00602E68"/>
    <w:rsid w:val="00603EE1"/>
    <w:rsid w:val="006050C0"/>
    <w:rsid w:val="00605474"/>
    <w:rsid w:val="00605860"/>
    <w:rsid w:val="006058AD"/>
    <w:rsid w:val="00605E6B"/>
    <w:rsid w:val="006061E0"/>
    <w:rsid w:val="00607215"/>
    <w:rsid w:val="00607576"/>
    <w:rsid w:val="00611436"/>
    <w:rsid w:val="006125CF"/>
    <w:rsid w:val="00615464"/>
    <w:rsid w:val="0061780B"/>
    <w:rsid w:val="00617894"/>
    <w:rsid w:val="00621AB6"/>
    <w:rsid w:val="00621E4E"/>
    <w:rsid w:val="00622742"/>
    <w:rsid w:val="00622F52"/>
    <w:rsid w:val="0062392F"/>
    <w:rsid w:val="0062435D"/>
    <w:rsid w:val="00624979"/>
    <w:rsid w:val="00625AA1"/>
    <w:rsid w:val="00626B7A"/>
    <w:rsid w:val="00627D82"/>
    <w:rsid w:val="00634421"/>
    <w:rsid w:val="006354F3"/>
    <w:rsid w:val="00636250"/>
    <w:rsid w:val="0063701E"/>
    <w:rsid w:val="00640ED7"/>
    <w:rsid w:val="00642842"/>
    <w:rsid w:val="00643FD5"/>
    <w:rsid w:val="00644B09"/>
    <w:rsid w:val="00645C25"/>
    <w:rsid w:val="00646352"/>
    <w:rsid w:val="00647896"/>
    <w:rsid w:val="0065059A"/>
    <w:rsid w:val="00650607"/>
    <w:rsid w:val="006519DC"/>
    <w:rsid w:val="00651B16"/>
    <w:rsid w:val="00652486"/>
    <w:rsid w:val="00652FD0"/>
    <w:rsid w:val="0065339A"/>
    <w:rsid w:val="006548E8"/>
    <w:rsid w:val="00654FA9"/>
    <w:rsid w:val="006568B3"/>
    <w:rsid w:val="006571BD"/>
    <w:rsid w:val="006574C0"/>
    <w:rsid w:val="00657C25"/>
    <w:rsid w:val="00657EDE"/>
    <w:rsid w:val="0066025D"/>
    <w:rsid w:val="00661ACA"/>
    <w:rsid w:val="00661B0F"/>
    <w:rsid w:val="0066285F"/>
    <w:rsid w:val="00662D17"/>
    <w:rsid w:val="006665FF"/>
    <w:rsid w:val="00666F75"/>
    <w:rsid w:val="0066798B"/>
    <w:rsid w:val="00667B8A"/>
    <w:rsid w:val="006702BD"/>
    <w:rsid w:val="00670421"/>
    <w:rsid w:val="0067083C"/>
    <w:rsid w:val="00673619"/>
    <w:rsid w:val="00675357"/>
    <w:rsid w:val="00676BE3"/>
    <w:rsid w:val="006824D0"/>
    <w:rsid w:val="00682B3A"/>
    <w:rsid w:val="006872D7"/>
    <w:rsid w:val="00687FB1"/>
    <w:rsid w:val="006902B1"/>
    <w:rsid w:val="0069043A"/>
    <w:rsid w:val="00691AE2"/>
    <w:rsid w:val="00692100"/>
    <w:rsid w:val="00692E97"/>
    <w:rsid w:val="00693067"/>
    <w:rsid w:val="00693B60"/>
    <w:rsid w:val="00693F86"/>
    <w:rsid w:val="00694674"/>
    <w:rsid w:val="00695CEA"/>
    <w:rsid w:val="00697914"/>
    <w:rsid w:val="00697DD6"/>
    <w:rsid w:val="006A21E7"/>
    <w:rsid w:val="006A3B2F"/>
    <w:rsid w:val="006A4D71"/>
    <w:rsid w:val="006A4DA6"/>
    <w:rsid w:val="006A6946"/>
    <w:rsid w:val="006A6CC7"/>
    <w:rsid w:val="006A7434"/>
    <w:rsid w:val="006B04D8"/>
    <w:rsid w:val="006B14C3"/>
    <w:rsid w:val="006B17AF"/>
    <w:rsid w:val="006B27E4"/>
    <w:rsid w:val="006B2F13"/>
    <w:rsid w:val="006B3907"/>
    <w:rsid w:val="006B5D2B"/>
    <w:rsid w:val="006C0D33"/>
    <w:rsid w:val="006C1F33"/>
    <w:rsid w:val="006C2E94"/>
    <w:rsid w:val="006C3B37"/>
    <w:rsid w:val="006C57B7"/>
    <w:rsid w:val="006C7C0F"/>
    <w:rsid w:val="006D154C"/>
    <w:rsid w:val="006D16D3"/>
    <w:rsid w:val="006D19A4"/>
    <w:rsid w:val="006D501E"/>
    <w:rsid w:val="006E0A02"/>
    <w:rsid w:val="006E1375"/>
    <w:rsid w:val="006E1D10"/>
    <w:rsid w:val="006E492A"/>
    <w:rsid w:val="006E5314"/>
    <w:rsid w:val="006E53A7"/>
    <w:rsid w:val="006E7C9A"/>
    <w:rsid w:val="006F67AC"/>
    <w:rsid w:val="006F745A"/>
    <w:rsid w:val="006F7740"/>
    <w:rsid w:val="00701849"/>
    <w:rsid w:val="00701854"/>
    <w:rsid w:val="0070588E"/>
    <w:rsid w:val="00705E56"/>
    <w:rsid w:val="00706FAD"/>
    <w:rsid w:val="00706FEF"/>
    <w:rsid w:val="00710D48"/>
    <w:rsid w:val="00713DE9"/>
    <w:rsid w:val="00714069"/>
    <w:rsid w:val="00714479"/>
    <w:rsid w:val="007155A5"/>
    <w:rsid w:val="0072130D"/>
    <w:rsid w:val="00721374"/>
    <w:rsid w:val="007213C1"/>
    <w:rsid w:val="00722BD8"/>
    <w:rsid w:val="007232F6"/>
    <w:rsid w:val="00723F0F"/>
    <w:rsid w:val="00727F6F"/>
    <w:rsid w:val="007309B3"/>
    <w:rsid w:val="00730A98"/>
    <w:rsid w:val="0073206F"/>
    <w:rsid w:val="00733D9B"/>
    <w:rsid w:val="0073545F"/>
    <w:rsid w:val="007365B4"/>
    <w:rsid w:val="00736ABF"/>
    <w:rsid w:val="00736CD9"/>
    <w:rsid w:val="00740DA8"/>
    <w:rsid w:val="00741740"/>
    <w:rsid w:val="007426FF"/>
    <w:rsid w:val="0074389A"/>
    <w:rsid w:val="00744A63"/>
    <w:rsid w:val="007450AF"/>
    <w:rsid w:val="00746F28"/>
    <w:rsid w:val="0074737A"/>
    <w:rsid w:val="00750337"/>
    <w:rsid w:val="00752432"/>
    <w:rsid w:val="00754C53"/>
    <w:rsid w:val="00757ED4"/>
    <w:rsid w:val="007609E5"/>
    <w:rsid w:val="00761E85"/>
    <w:rsid w:val="00771F28"/>
    <w:rsid w:val="00772990"/>
    <w:rsid w:val="00772E6F"/>
    <w:rsid w:val="00775A9A"/>
    <w:rsid w:val="00775EE8"/>
    <w:rsid w:val="00776A5C"/>
    <w:rsid w:val="007772D2"/>
    <w:rsid w:val="007800B6"/>
    <w:rsid w:val="00780C2C"/>
    <w:rsid w:val="00780CE3"/>
    <w:rsid w:val="007815E2"/>
    <w:rsid w:val="0078176B"/>
    <w:rsid w:val="007818E7"/>
    <w:rsid w:val="00781D74"/>
    <w:rsid w:val="007829EF"/>
    <w:rsid w:val="007838E9"/>
    <w:rsid w:val="0078531E"/>
    <w:rsid w:val="00785430"/>
    <w:rsid w:val="00785528"/>
    <w:rsid w:val="00786514"/>
    <w:rsid w:val="00792E97"/>
    <w:rsid w:val="007935AA"/>
    <w:rsid w:val="00794DAC"/>
    <w:rsid w:val="007955E0"/>
    <w:rsid w:val="007A0424"/>
    <w:rsid w:val="007A1235"/>
    <w:rsid w:val="007A2700"/>
    <w:rsid w:val="007A3167"/>
    <w:rsid w:val="007A3A16"/>
    <w:rsid w:val="007A4D7D"/>
    <w:rsid w:val="007A5717"/>
    <w:rsid w:val="007A5D5B"/>
    <w:rsid w:val="007A6036"/>
    <w:rsid w:val="007B0682"/>
    <w:rsid w:val="007B134F"/>
    <w:rsid w:val="007B337F"/>
    <w:rsid w:val="007B3B4B"/>
    <w:rsid w:val="007B68B0"/>
    <w:rsid w:val="007B6E71"/>
    <w:rsid w:val="007B7CDD"/>
    <w:rsid w:val="007B7E40"/>
    <w:rsid w:val="007C27DD"/>
    <w:rsid w:val="007C3C2A"/>
    <w:rsid w:val="007C4C56"/>
    <w:rsid w:val="007C5A8C"/>
    <w:rsid w:val="007C6E5E"/>
    <w:rsid w:val="007C7219"/>
    <w:rsid w:val="007D0010"/>
    <w:rsid w:val="007D0738"/>
    <w:rsid w:val="007D08DB"/>
    <w:rsid w:val="007D2A68"/>
    <w:rsid w:val="007D2E69"/>
    <w:rsid w:val="007D2F1D"/>
    <w:rsid w:val="007D3AC1"/>
    <w:rsid w:val="007D3DAF"/>
    <w:rsid w:val="007D4657"/>
    <w:rsid w:val="007D4DAC"/>
    <w:rsid w:val="007D4FDF"/>
    <w:rsid w:val="007D5FE3"/>
    <w:rsid w:val="007D63B6"/>
    <w:rsid w:val="007D7845"/>
    <w:rsid w:val="007E4D38"/>
    <w:rsid w:val="007E4F96"/>
    <w:rsid w:val="007E5F4C"/>
    <w:rsid w:val="007E6619"/>
    <w:rsid w:val="007E73B2"/>
    <w:rsid w:val="007E7ACE"/>
    <w:rsid w:val="007E7F1D"/>
    <w:rsid w:val="007F1A78"/>
    <w:rsid w:val="007F1EF9"/>
    <w:rsid w:val="007F1F55"/>
    <w:rsid w:val="007F3E31"/>
    <w:rsid w:val="007F404F"/>
    <w:rsid w:val="007F4081"/>
    <w:rsid w:val="007F4771"/>
    <w:rsid w:val="007F5B9F"/>
    <w:rsid w:val="008029FB"/>
    <w:rsid w:val="00804074"/>
    <w:rsid w:val="00805D43"/>
    <w:rsid w:val="00806AE4"/>
    <w:rsid w:val="00807621"/>
    <w:rsid w:val="00807769"/>
    <w:rsid w:val="00807ACD"/>
    <w:rsid w:val="00810053"/>
    <w:rsid w:val="00812E66"/>
    <w:rsid w:val="0081335E"/>
    <w:rsid w:val="00815631"/>
    <w:rsid w:val="00815AF7"/>
    <w:rsid w:val="0081712C"/>
    <w:rsid w:val="008205BE"/>
    <w:rsid w:val="00820E7E"/>
    <w:rsid w:val="00826B23"/>
    <w:rsid w:val="00826D1D"/>
    <w:rsid w:val="00830DCE"/>
    <w:rsid w:val="008334E0"/>
    <w:rsid w:val="00833C63"/>
    <w:rsid w:val="008346D9"/>
    <w:rsid w:val="00835079"/>
    <w:rsid w:val="008359AE"/>
    <w:rsid w:val="00836177"/>
    <w:rsid w:val="008408FA"/>
    <w:rsid w:val="00842F3E"/>
    <w:rsid w:val="00845D9C"/>
    <w:rsid w:val="00846990"/>
    <w:rsid w:val="00846BDA"/>
    <w:rsid w:val="00846D78"/>
    <w:rsid w:val="00851052"/>
    <w:rsid w:val="00851D32"/>
    <w:rsid w:val="008600CD"/>
    <w:rsid w:val="008607A9"/>
    <w:rsid w:val="00862BF7"/>
    <w:rsid w:val="008636F0"/>
    <w:rsid w:val="00863C54"/>
    <w:rsid w:val="008648CF"/>
    <w:rsid w:val="008650ED"/>
    <w:rsid w:val="00865825"/>
    <w:rsid w:val="00872910"/>
    <w:rsid w:val="008732AD"/>
    <w:rsid w:val="008734E0"/>
    <w:rsid w:val="00874BEC"/>
    <w:rsid w:val="00875136"/>
    <w:rsid w:val="00880876"/>
    <w:rsid w:val="00881330"/>
    <w:rsid w:val="00881E55"/>
    <w:rsid w:val="0088386A"/>
    <w:rsid w:val="00886C00"/>
    <w:rsid w:val="00887CD7"/>
    <w:rsid w:val="0089092B"/>
    <w:rsid w:val="008911B7"/>
    <w:rsid w:val="00892C41"/>
    <w:rsid w:val="008941BB"/>
    <w:rsid w:val="00894624"/>
    <w:rsid w:val="00895C87"/>
    <w:rsid w:val="00896F34"/>
    <w:rsid w:val="00897463"/>
    <w:rsid w:val="0089759F"/>
    <w:rsid w:val="00897B31"/>
    <w:rsid w:val="008A07A4"/>
    <w:rsid w:val="008A1FA8"/>
    <w:rsid w:val="008A298E"/>
    <w:rsid w:val="008A2F1E"/>
    <w:rsid w:val="008A39BC"/>
    <w:rsid w:val="008B0075"/>
    <w:rsid w:val="008B02A2"/>
    <w:rsid w:val="008B1398"/>
    <w:rsid w:val="008B3EDB"/>
    <w:rsid w:val="008B4D61"/>
    <w:rsid w:val="008B4D9B"/>
    <w:rsid w:val="008B65D9"/>
    <w:rsid w:val="008B6931"/>
    <w:rsid w:val="008C0166"/>
    <w:rsid w:val="008C0C85"/>
    <w:rsid w:val="008C1839"/>
    <w:rsid w:val="008C1E04"/>
    <w:rsid w:val="008C2683"/>
    <w:rsid w:val="008C306E"/>
    <w:rsid w:val="008C3A21"/>
    <w:rsid w:val="008C4DA0"/>
    <w:rsid w:val="008D0B1C"/>
    <w:rsid w:val="008D24B2"/>
    <w:rsid w:val="008D2848"/>
    <w:rsid w:val="008D29CA"/>
    <w:rsid w:val="008D47F1"/>
    <w:rsid w:val="008D52FF"/>
    <w:rsid w:val="008D5E5B"/>
    <w:rsid w:val="008D6903"/>
    <w:rsid w:val="008D7AAD"/>
    <w:rsid w:val="008E0E4C"/>
    <w:rsid w:val="008E2686"/>
    <w:rsid w:val="008E3279"/>
    <w:rsid w:val="008E33DF"/>
    <w:rsid w:val="008E3674"/>
    <w:rsid w:val="008E3F87"/>
    <w:rsid w:val="008E4DD6"/>
    <w:rsid w:val="008E5620"/>
    <w:rsid w:val="008E585B"/>
    <w:rsid w:val="008E6090"/>
    <w:rsid w:val="008E6F1E"/>
    <w:rsid w:val="008E7949"/>
    <w:rsid w:val="008F1D76"/>
    <w:rsid w:val="008F5450"/>
    <w:rsid w:val="008F58A6"/>
    <w:rsid w:val="008F60DA"/>
    <w:rsid w:val="008F68C2"/>
    <w:rsid w:val="008F764F"/>
    <w:rsid w:val="009005D1"/>
    <w:rsid w:val="00900643"/>
    <w:rsid w:val="0090176E"/>
    <w:rsid w:val="009017EE"/>
    <w:rsid w:val="00903667"/>
    <w:rsid w:val="00904B71"/>
    <w:rsid w:val="00904F94"/>
    <w:rsid w:val="00906406"/>
    <w:rsid w:val="00906551"/>
    <w:rsid w:val="00906B0B"/>
    <w:rsid w:val="00910621"/>
    <w:rsid w:val="00913A64"/>
    <w:rsid w:val="00915241"/>
    <w:rsid w:val="00915841"/>
    <w:rsid w:val="009158C8"/>
    <w:rsid w:val="00920164"/>
    <w:rsid w:val="009217DE"/>
    <w:rsid w:val="00921AF1"/>
    <w:rsid w:val="00922FBE"/>
    <w:rsid w:val="0092333F"/>
    <w:rsid w:val="009253FD"/>
    <w:rsid w:val="00925551"/>
    <w:rsid w:val="0093041A"/>
    <w:rsid w:val="00930506"/>
    <w:rsid w:val="00930796"/>
    <w:rsid w:val="00932D7B"/>
    <w:rsid w:val="0093327C"/>
    <w:rsid w:val="009332C7"/>
    <w:rsid w:val="00933953"/>
    <w:rsid w:val="00934F8C"/>
    <w:rsid w:val="00935E3B"/>
    <w:rsid w:val="00940C2A"/>
    <w:rsid w:val="009416BD"/>
    <w:rsid w:val="00942A9D"/>
    <w:rsid w:val="00942D2B"/>
    <w:rsid w:val="00942E26"/>
    <w:rsid w:val="00943B1F"/>
    <w:rsid w:val="0094487A"/>
    <w:rsid w:val="009465F5"/>
    <w:rsid w:val="009466F3"/>
    <w:rsid w:val="00946F17"/>
    <w:rsid w:val="0094797D"/>
    <w:rsid w:val="00950A04"/>
    <w:rsid w:val="00950B8A"/>
    <w:rsid w:val="009516C9"/>
    <w:rsid w:val="00951D5E"/>
    <w:rsid w:val="00952327"/>
    <w:rsid w:val="00952473"/>
    <w:rsid w:val="00952AB8"/>
    <w:rsid w:val="00956B9F"/>
    <w:rsid w:val="00957AC3"/>
    <w:rsid w:val="009600AC"/>
    <w:rsid w:val="009601FB"/>
    <w:rsid w:val="0096061D"/>
    <w:rsid w:val="009617BB"/>
    <w:rsid w:val="009628D4"/>
    <w:rsid w:val="00963906"/>
    <w:rsid w:val="00964074"/>
    <w:rsid w:val="00965C3C"/>
    <w:rsid w:val="00965E23"/>
    <w:rsid w:val="00967B75"/>
    <w:rsid w:val="00970A15"/>
    <w:rsid w:val="009725C2"/>
    <w:rsid w:val="009728A3"/>
    <w:rsid w:val="00974678"/>
    <w:rsid w:val="0097519F"/>
    <w:rsid w:val="00976C99"/>
    <w:rsid w:val="00976CAA"/>
    <w:rsid w:val="009819EF"/>
    <w:rsid w:val="0098238A"/>
    <w:rsid w:val="0098281B"/>
    <w:rsid w:val="009828AE"/>
    <w:rsid w:val="00982ABB"/>
    <w:rsid w:val="00982D04"/>
    <w:rsid w:val="00983BE0"/>
    <w:rsid w:val="00984244"/>
    <w:rsid w:val="009858D9"/>
    <w:rsid w:val="0098602B"/>
    <w:rsid w:val="00991315"/>
    <w:rsid w:val="00993460"/>
    <w:rsid w:val="009938B9"/>
    <w:rsid w:val="0099457A"/>
    <w:rsid w:val="0099554D"/>
    <w:rsid w:val="00996514"/>
    <w:rsid w:val="00997F94"/>
    <w:rsid w:val="009A03AC"/>
    <w:rsid w:val="009A0992"/>
    <w:rsid w:val="009A1D53"/>
    <w:rsid w:val="009A291E"/>
    <w:rsid w:val="009A3C2B"/>
    <w:rsid w:val="009A6DE1"/>
    <w:rsid w:val="009B079E"/>
    <w:rsid w:val="009B149E"/>
    <w:rsid w:val="009B21D4"/>
    <w:rsid w:val="009B21D6"/>
    <w:rsid w:val="009B2808"/>
    <w:rsid w:val="009B34C9"/>
    <w:rsid w:val="009B3F54"/>
    <w:rsid w:val="009B57F9"/>
    <w:rsid w:val="009B67E9"/>
    <w:rsid w:val="009C0613"/>
    <w:rsid w:val="009C0DCA"/>
    <w:rsid w:val="009C287B"/>
    <w:rsid w:val="009C314D"/>
    <w:rsid w:val="009C3553"/>
    <w:rsid w:val="009C725E"/>
    <w:rsid w:val="009D1D11"/>
    <w:rsid w:val="009E0011"/>
    <w:rsid w:val="009E0CB6"/>
    <w:rsid w:val="009E42F5"/>
    <w:rsid w:val="009F0736"/>
    <w:rsid w:val="009F096B"/>
    <w:rsid w:val="009F0E11"/>
    <w:rsid w:val="009F287B"/>
    <w:rsid w:val="009F342F"/>
    <w:rsid w:val="009F5A43"/>
    <w:rsid w:val="009F5DE7"/>
    <w:rsid w:val="009F680F"/>
    <w:rsid w:val="00A007CC"/>
    <w:rsid w:val="00A00999"/>
    <w:rsid w:val="00A01301"/>
    <w:rsid w:val="00A0211E"/>
    <w:rsid w:val="00A02B09"/>
    <w:rsid w:val="00A055F2"/>
    <w:rsid w:val="00A05D15"/>
    <w:rsid w:val="00A05EFB"/>
    <w:rsid w:val="00A06362"/>
    <w:rsid w:val="00A06871"/>
    <w:rsid w:val="00A073DA"/>
    <w:rsid w:val="00A0792A"/>
    <w:rsid w:val="00A07EEE"/>
    <w:rsid w:val="00A12E1D"/>
    <w:rsid w:val="00A1323D"/>
    <w:rsid w:val="00A20AB5"/>
    <w:rsid w:val="00A21D37"/>
    <w:rsid w:val="00A2230B"/>
    <w:rsid w:val="00A24D53"/>
    <w:rsid w:val="00A3121D"/>
    <w:rsid w:val="00A31FD1"/>
    <w:rsid w:val="00A3380E"/>
    <w:rsid w:val="00A350B9"/>
    <w:rsid w:val="00A359B3"/>
    <w:rsid w:val="00A3738B"/>
    <w:rsid w:val="00A41BE4"/>
    <w:rsid w:val="00A425E4"/>
    <w:rsid w:val="00A45255"/>
    <w:rsid w:val="00A45398"/>
    <w:rsid w:val="00A45A6F"/>
    <w:rsid w:val="00A53214"/>
    <w:rsid w:val="00A53C06"/>
    <w:rsid w:val="00A53F78"/>
    <w:rsid w:val="00A54CE2"/>
    <w:rsid w:val="00A54D44"/>
    <w:rsid w:val="00A55048"/>
    <w:rsid w:val="00A5518C"/>
    <w:rsid w:val="00A55D0B"/>
    <w:rsid w:val="00A56571"/>
    <w:rsid w:val="00A579CB"/>
    <w:rsid w:val="00A639C5"/>
    <w:rsid w:val="00A639DA"/>
    <w:rsid w:val="00A63B88"/>
    <w:rsid w:val="00A64D14"/>
    <w:rsid w:val="00A65CE9"/>
    <w:rsid w:val="00A73E69"/>
    <w:rsid w:val="00A74470"/>
    <w:rsid w:val="00A76CF5"/>
    <w:rsid w:val="00A7700A"/>
    <w:rsid w:val="00A80011"/>
    <w:rsid w:val="00A82C15"/>
    <w:rsid w:val="00A82EC1"/>
    <w:rsid w:val="00A8495E"/>
    <w:rsid w:val="00A85746"/>
    <w:rsid w:val="00A85CAB"/>
    <w:rsid w:val="00A864FE"/>
    <w:rsid w:val="00A875BE"/>
    <w:rsid w:val="00A87617"/>
    <w:rsid w:val="00A87D3A"/>
    <w:rsid w:val="00A921E9"/>
    <w:rsid w:val="00A92B56"/>
    <w:rsid w:val="00A92BCB"/>
    <w:rsid w:val="00A93929"/>
    <w:rsid w:val="00A94DD9"/>
    <w:rsid w:val="00A95755"/>
    <w:rsid w:val="00A9584F"/>
    <w:rsid w:val="00A9640E"/>
    <w:rsid w:val="00AA2513"/>
    <w:rsid w:val="00AA3D26"/>
    <w:rsid w:val="00AA47B4"/>
    <w:rsid w:val="00AA6658"/>
    <w:rsid w:val="00AA7B9F"/>
    <w:rsid w:val="00AB0981"/>
    <w:rsid w:val="00AB0E80"/>
    <w:rsid w:val="00AB32F0"/>
    <w:rsid w:val="00AB3EAD"/>
    <w:rsid w:val="00AB4792"/>
    <w:rsid w:val="00AB61AB"/>
    <w:rsid w:val="00AB63D5"/>
    <w:rsid w:val="00AC251B"/>
    <w:rsid w:val="00AC4140"/>
    <w:rsid w:val="00AC4167"/>
    <w:rsid w:val="00AC6C35"/>
    <w:rsid w:val="00AC74B8"/>
    <w:rsid w:val="00AD0404"/>
    <w:rsid w:val="00AD7011"/>
    <w:rsid w:val="00AD7AC2"/>
    <w:rsid w:val="00AE01C7"/>
    <w:rsid w:val="00AE17D6"/>
    <w:rsid w:val="00AE465B"/>
    <w:rsid w:val="00AE4EAD"/>
    <w:rsid w:val="00AE4FB2"/>
    <w:rsid w:val="00AE779F"/>
    <w:rsid w:val="00AF2049"/>
    <w:rsid w:val="00AF4F69"/>
    <w:rsid w:val="00AF70CB"/>
    <w:rsid w:val="00B00976"/>
    <w:rsid w:val="00B00C6D"/>
    <w:rsid w:val="00B01F92"/>
    <w:rsid w:val="00B03174"/>
    <w:rsid w:val="00B042A3"/>
    <w:rsid w:val="00B04346"/>
    <w:rsid w:val="00B04708"/>
    <w:rsid w:val="00B116FB"/>
    <w:rsid w:val="00B11D65"/>
    <w:rsid w:val="00B1208D"/>
    <w:rsid w:val="00B140B5"/>
    <w:rsid w:val="00B14500"/>
    <w:rsid w:val="00B15C39"/>
    <w:rsid w:val="00B16140"/>
    <w:rsid w:val="00B16C3E"/>
    <w:rsid w:val="00B178A5"/>
    <w:rsid w:val="00B20390"/>
    <w:rsid w:val="00B20560"/>
    <w:rsid w:val="00B20A82"/>
    <w:rsid w:val="00B20E4D"/>
    <w:rsid w:val="00B212AF"/>
    <w:rsid w:val="00B22359"/>
    <w:rsid w:val="00B22B07"/>
    <w:rsid w:val="00B22E7F"/>
    <w:rsid w:val="00B24853"/>
    <w:rsid w:val="00B24F36"/>
    <w:rsid w:val="00B251B6"/>
    <w:rsid w:val="00B26975"/>
    <w:rsid w:val="00B32E30"/>
    <w:rsid w:val="00B34C25"/>
    <w:rsid w:val="00B360EA"/>
    <w:rsid w:val="00B362B5"/>
    <w:rsid w:val="00B36976"/>
    <w:rsid w:val="00B43E73"/>
    <w:rsid w:val="00B46B93"/>
    <w:rsid w:val="00B4726F"/>
    <w:rsid w:val="00B47E5B"/>
    <w:rsid w:val="00B50B38"/>
    <w:rsid w:val="00B537C1"/>
    <w:rsid w:val="00B53826"/>
    <w:rsid w:val="00B53848"/>
    <w:rsid w:val="00B54321"/>
    <w:rsid w:val="00B54340"/>
    <w:rsid w:val="00B54B5A"/>
    <w:rsid w:val="00B56758"/>
    <w:rsid w:val="00B60C7A"/>
    <w:rsid w:val="00B61EC2"/>
    <w:rsid w:val="00B636B8"/>
    <w:rsid w:val="00B63C47"/>
    <w:rsid w:val="00B66BAF"/>
    <w:rsid w:val="00B712A8"/>
    <w:rsid w:val="00B71A5A"/>
    <w:rsid w:val="00B75F2D"/>
    <w:rsid w:val="00B76C03"/>
    <w:rsid w:val="00B80A9F"/>
    <w:rsid w:val="00B80D1A"/>
    <w:rsid w:val="00B810DE"/>
    <w:rsid w:val="00B854C5"/>
    <w:rsid w:val="00B85960"/>
    <w:rsid w:val="00B901B4"/>
    <w:rsid w:val="00B91E89"/>
    <w:rsid w:val="00B936BC"/>
    <w:rsid w:val="00B94EBE"/>
    <w:rsid w:val="00B9685E"/>
    <w:rsid w:val="00BA09BF"/>
    <w:rsid w:val="00BA1F16"/>
    <w:rsid w:val="00BA2115"/>
    <w:rsid w:val="00BA2546"/>
    <w:rsid w:val="00BA6EF1"/>
    <w:rsid w:val="00BA7822"/>
    <w:rsid w:val="00BB0828"/>
    <w:rsid w:val="00BB0C4A"/>
    <w:rsid w:val="00BB1C1E"/>
    <w:rsid w:val="00BB2FC8"/>
    <w:rsid w:val="00BB5333"/>
    <w:rsid w:val="00BB5CFA"/>
    <w:rsid w:val="00BB718A"/>
    <w:rsid w:val="00BC165C"/>
    <w:rsid w:val="00BC237E"/>
    <w:rsid w:val="00BC3870"/>
    <w:rsid w:val="00BC620C"/>
    <w:rsid w:val="00BD3134"/>
    <w:rsid w:val="00BD3D0E"/>
    <w:rsid w:val="00BD4B8E"/>
    <w:rsid w:val="00BD5F33"/>
    <w:rsid w:val="00BD6105"/>
    <w:rsid w:val="00BE0D59"/>
    <w:rsid w:val="00BE11D1"/>
    <w:rsid w:val="00BE2EBC"/>
    <w:rsid w:val="00BE3019"/>
    <w:rsid w:val="00BE50FD"/>
    <w:rsid w:val="00BE5781"/>
    <w:rsid w:val="00BE5807"/>
    <w:rsid w:val="00BE59A5"/>
    <w:rsid w:val="00BE6D16"/>
    <w:rsid w:val="00BE6FE7"/>
    <w:rsid w:val="00BE7964"/>
    <w:rsid w:val="00BE7F3D"/>
    <w:rsid w:val="00BF1D8A"/>
    <w:rsid w:val="00BF400C"/>
    <w:rsid w:val="00BF5DBA"/>
    <w:rsid w:val="00BF7428"/>
    <w:rsid w:val="00C03FB1"/>
    <w:rsid w:val="00C042DF"/>
    <w:rsid w:val="00C04757"/>
    <w:rsid w:val="00C057D4"/>
    <w:rsid w:val="00C11E6A"/>
    <w:rsid w:val="00C12217"/>
    <w:rsid w:val="00C12A9D"/>
    <w:rsid w:val="00C15C50"/>
    <w:rsid w:val="00C15CD1"/>
    <w:rsid w:val="00C15CF3"/>
    <w:rsid w:val="00C16576"/>
    <w:rsid w:val="00C16949"/>
    <w:rsid w:val="00C16961"/>
    <w:rsid w:val="00C17656"/>
    <w:rsid w:val="00C179DE"/>
    <w:rsid w:val="00C17E8E"/>
    <w:rsid w:val="00C20D12"/>
    <w:rsid w:val="00C2338C"/>
    <w:rsid w:val="00C24D89"/>
    <w:rsid w:val="00C25A65"/>
    <w:rsid w:val="00C25F39"/>
    <w:rsid w:val="00C260C5"/>
    <w:rsid w:val="00C26457"/>
    <w:rsid w:val="00C26960"/>
    <w:rsid w:val="00C2745C"/>
    <w:rsid w:val="00C30140"/>
    <w:rsid w:val="00C3046C"/>
    <w:rsid w:val="00C318D0"/>
    <w:rsid w:val="00C323C2"/>
    <w:rsid w:val="00C33AED"/>
    <w:rsid w:val="00C34358"/>
    <w:rsid w:val="00C36246"/>
    <w:rsid w:val="00C36399"/>
    <w:rsid w:val="00C36712"/>
    <w:rsid w:val="00C37444"/>
    <w:rsid w:val="00C37FF9"/>
    <w:rsid w:val="00C40BFD"/>
    <w:rsid w:val="00C41498"/>
    <w:rsid w:val="00C423FA"/>
    <w:rsid w:val="00C42A5F"/>
    <w:rsid w:val="00C433DF"/>
    <w:rsid w:val="00C43827"/>
    <w:rsid w:val="00C44EAA"/>
    <w:rsid w:val="00C4504C"/>
    <w:rsid w:val="00C45279"/>
    <w:rsid w:val="00C45BAD"/>
    <w:rsid w:val="00C51703"/>
    <w:rsid w:val="00C53641"/>
    <w:rsid w:val="00C54BF1"/>
    <w:rsid w:val="00C5674E"/>
    <w:rsid w:val="00C571E4"/>
    <w:rsid w:val="00C573F6"/>
    <w:rsid w:val="00C5757A"/>
    <w:rsid w:val="00C607CA"/>
    <w:rsid w:val="00C62827"/>
    <w:rsid w:val="00C62C50"/>
    <w:rsid w:val="00C63B81"/>
    <w:rsid w:val="00C64B9A"/>
    <w:rsid w:val="00C6509B"/>
    <w:rsid w:val="00C703A1"/>
    <w:rsid w:val="00C70765"/>
    <w:rsid w:val="00C73470"/>
    <w:rsid w:val="00C7554E"/>
    <w:rsid w:val="00C762D3"/>
    <w:rsid w:val="00C76693"/>
    <w:rsid w:val="00C7673E"/>
    <w:rsid w:val="00C77512"/>
    <w:rsid w:val="00C82333"/>
    <w:rsid w:val="00C866C2"/>
    <w:rsid w:val="00C90B79"/>
    <w:rsid w:val="00C91A33"/>
    <w:rsid w:val="00C93BE0"/>
    <w:rsid w:val="00C95569"/>
    <w:rsid w:val="00CA139C"/>
    <w:rsid w:val="00CA3395"/>
    <w:rsid w:val="00CA593D"/>
    <w:rsid w:val="00CA62AF"/>
    <w:rsid w:val="00CA66B9"/>
    <w:rsid w:val="00CA6D7B"/>
    <w:rsid w:val="00CA7AB3"/>
    <w:rsid w:val="00CB02EC"/>
    <w:rsid w:val="00CB033E"/>
    <w:rsid w:val="00CB208F"/>
    <w:rsid w:val="00CB2D9D"/>
    <w:rsid w:val="00CB3190"/>
    <w:rsid w:val="00CB4895"/>
    <w:rsid w:val="00CB6BB1"/>
    <w:rsid w:val="00CB7104"/>
    <w:rsid w:val="00CB7636"/>
    <w:rsid w:val="00CB7A2B"/>
    <w:rsid w:val="00CB7BF1"/>
    <w:rsid w:val="00CB7CAF"/>
    <w:rsid w:val="00CC032F"/>
    <w:rsid w:val="00CC03F7"/>
    <w:rsid w:val="00CC0603"/>
    <w:rsid w:val="00CC18D2"/>
    <w:rsid w:val="00CC6E44"/>
    <w:rsid w:val="00CC7C2C"/>
    <w:rsid w:val="00CD0B1A"/>
    <w:rsid w:val="00CD1D13"/>
    <w:rsid w:val="00CD1EF3"/>
    <w:rsid w:val="00CD2B40"/>
    <w:rsid w:val="00CD40F6"/>
    <w:rsid w:val="00CD72E1"/>
    <w:rsid w:val="00CD7E96"/>
    <w:rsid w:val="00CD7EF6"/>
    <w:rsid w:val="00CE1390"/>
    <w:rsid w:val="00CE14B7"/>
    <w:rsid w:val="00CE396E"/>
    <w:rsid w:val="00CE4156"/>
    <w:rsid w:val="00CE7D46"/>
    <w:rsid w:val="00CF3328"/>
    <w:rsid w:val="00CF50DD"/>
    <w:rsid w:val="00CF6F96"/>
    <w:rsid w:val="00D00E9D"/>
    <w:rsid w:val="00D01FEB"/>
    <w:rsid w:val="00D07D47"/>
    <w:rsid w:val="00D0A9D9"/>
    <w:rsid w:val="00D11915"/>
    <w:rsid w:val="00D12421"/>
    <w:rsid w:val="00D12A94"/>
    <w:rsid w:val="00D131BE"/>
    <w:rsid w:val="00D132D8"/>
    <w:rsid w:val="00D15C8C"/>
    <w:rsid w:val="00D1743F"/>
    <w:rsid w:val="00D21BA4"/>
    <w:rsid w:val="00D223DE"/>
    <w:rsid w:val="00D230C0"/>
    <w:rsid w:val="00D25FC9"/>
    <w:rsid w:val="00D2657F"/>
    <w:rsid w:val="00D31581"/>
    <w:rsid w:val="00D31890"/>
    <w:rsid w:val="00D32EED"/>
    <w:rsid w:val="00D32F18"/>
    <w:rsid w:val="00D33549"/>
    <w:rsid w:val="00D33CE2"/>
    <w:rsid w:val="00D369A0"/>
    <w:rsid w:val="00D36EC9"/>
    <w:rsid w:val="00D4164F"/>
    <w:rsid w:val="00D42812"/>
    <w:rsid w:val="00D430F5"/>
    <w:rsid w:val="00D440DE"/>
    <w:rsid w:val="00D44D96"/>
    <w:rsid w:val="00D45226"/>
    <w:rsid w:val="00D459F6"/>
    <w:rsid w:val="00D47CD5"/>
    <w:rsid w:val="00D50823"/>
    <w:rsid w:val="00D53135"/>
    <w:rsid w:val="00D53254"/>
    <w:rsid w:val="00D53E59"/>
    <w:rsid w:val="00D54EBD"/>
    <w:rsid w:val="00D5528E"/>
    <w:rsid w:val="00D554D2"/>
    <w:rsid w:val="00D55762"/>
    <w:rsid w:val="00D6095E"/>
    <w:rsid w:val="00D660CD"/>
    <w:rsid w:val="00D67ED2"/>
    <w:rsid w:val="00D7054E"/>
    <w:rsid w:val="00D7163D"/>
    <w:rsid w:val="00D7366F"/>
    <w:rsid w:val="00D73EA0"/>
    <w:rsid w:val="00D74B58"/>
    <w:rsid w:val="00D75DC1"/>
    <w:rsid w:val="00D81754"/>
    <w:rsid w:val="00D83439"/>
    <w:rsid w:val="00D83AFC"/>
    <w:rsid w:val="00D84713"/>
    <w:rsid w:val="00D86C88"/>
    <w:rsid w:val="00D875BE"/>
    <w:rsid w:val="00D92271"/>
    <w:rsid w:val="00D92409"/>
    <w:rsid w:val="00D92B24"/>
    <w:rsid w:val="00D9329F"/>
    <w:rsid w:val="00D951C3"/>
    <w:rsid w:val="00D951C8"/>
    <w:rsid w:val="00D95DA7"/>
    <w:rsid w:val="00D9602D"/>
    <w:rsid w:val="00DA176F"/>
    <w:rsid w:val="00DA1B5A"/>
    <w:rsid w:val="00DA1C45"/>
    <w:rsid w:val="00DA1F5B"/>
    <w:rsid w:val="00DA20A5"/>
    <w:rsid w:val="00DA34CF"/>
    <w:rsid w:val="00DA436D"/>
    <w:rsid w:val="00DA447B"/>
    <w:rsid w:val="00DA4A0D"/>
    <w:rsid w:val="00DA4CCA"/>
    <w:rsid w:val="00DA4D2E"/>
    <w:rsid w:val="00DA4F21"/>
    <w:rsid w:val="00DA52FD"/>
    <w:rsid w:val="00DA611B"/>
    <w:rsid w:val="00DA72D7"/>
    <w:rsid w:val="00DA7607"/>
    <w:rsid w:val="00DB0247"/>
    <w:rsid w:val="00DB1547"/>
    <w:rsid w:val="00DB1936"/>
    <w:rsid w:val="00DB5089"/>
    <w:rsid w:val="00DB5D5E"/>
    <w:rsid w:val="00DB6D35"/>
    <w:rsid w:val="00DB7B0E"/>
    <w:rsid w:val="00DC1F6E"/>
    <w:rsid w:val="00DD0823"/>
    <w:rsid w:val="00DD1862"/>
    <w:rsid w:val="00DD3BBF"/>
    <w:rsid w:val="00DD5ED6"/>
    <w:rsid w:val="00DD6158"/>
    <w:rsid w:val="00DD672A"/>
    <w:rsid w:val="00DD7BA9"/>
    <w:rsid w:val="00DE0A97"/>
    <w:rsid w:val="00DE16E3"/>
    <w:rsid w:val="00DE1B97"/>
    <w:rsid w:val="00DE2B39"/>
    <w:rsid w:val="00DE3591"/>
    <w:rsid w:val="00DE41C2"/>
    <w:rsid w:val="00DE42BC"/>
    <w:rsid w:val="00DE4DFF"/>
    <w:rsid w:val="00DE5035"/>
    <w:rsid w:val="00DE6517"/>
    <w:rsid w:val="00DE7E99"/>
    <w:rsid w:val="00DF0BCD"/>
    <w:rsid w:val="00DF13C0"/>
    <w:rsid w:val="00DF2D86"/>
    <w:rsid w:val="00DF37E0"/>
    <w:rsid w:val="00DF4429"/>
    <w:rsid w:val="00DF48B4"/>
    <w:rsid w:val="00DF5F0F"/>
    <w:rsid w:val="00DF6800"/>
    <w:rsid w:val="00E00488"/>
    <w:rsid w:val="00E0122C"/>
    <w:rsid w:val="00E015A9"/>
    <w:rsid w:val="00E02639"/>
    <w:rsid w:val="00E059CA"/>
    <w:rsid w:val="00E06762"/>
    <w:rsid w:val="00E1031D"/>
    <w:rsid w:val="00E10668"/>
    <w:rsid w:val="00E10BD4"/>
    <w:rsid w:val="00E10C81"/>
    <w:rsid w:val="00E130C2"/>
    <w:rsid w:val="00E13506"/>
    <w:rsid w:val="00E13B59"/>
    <w:rsid w:val="00E13B7A"/>
    <w:rsid w:val="00E13D8E"/>
    <w:rsid w:val="00E14D07"/>
    <w:rsid w:val="00E15044"/>
    <w:rsid w:val="00E16096"/>
    <w:rsid w:val="00E16AB0"/>
    <w:rsid w:val="00E23229"/>
    <w:rsid w:val="00E23481"/>
    <w:rsid w:val="00E23F42"/>
    <w:rsid w:val="00E2479D"/>
    <w:rsid w:val="00E25903"/>
    <w:rsid w:val="00E25DCD"/>
    <w:rsid w:val="00E278CE"/>
    <w:rsid w:val="00E30074"/>
    <w:rsid w:val="00E30315"/>
    <w:rsid w:val="00E330C0"/>
    <w:rsid w:val="00E3327C"/>
    <w:rsid w:val="00E34B34"/>
    <w:rsid w:val="00E34E66"/>
    <w:rsid w:val="00E37CA3"/>
    <w:rsid w:val="00E41992"/>
    <w:rsid w:val="00E43B33"/>
    <w:rsid w:val="00E43F36"/>
    <w:rsid w:val="00E44800"/>
    <w:rsid w:val="00E46142"/>
    <w:rsid w:val="00E4643D"/>
    <w:rsid w:val="00E537A6"/>
    <w:rsid w:val="00E538EA"/>
    <w:rsid w:val="00E54AA4"/>
    <w:rsid w:val="00E56EC3"/>
    <w:rsid w:val="00E636A0"/>
    <w:rsid w:val="00E63B2C"/>
    <w:rsid w:val="00E66329"/>
    <w:rsid w:val="00E72B50"/>
    <w:rsid w:val="00E73DD9"/>
    <w:rsid w:val="00E747E1"/>
    <w:rsid w:val="00E755AD"/>
    <w:rsid w:val="00E76867"/>
    <w:rsid w:val="00E80D7F"/>
    <w:rsid w:val="00E820AD"/>
    <w:rsid w:val="00E845AE"/>
    <w:rsid w:val="00E85DF3"/>
    <w:rsid w:val="00E86D2D"/>
    <w:rsid w:val="00E871EF"/>
    <w:rsid w:val="00E91513"/>
    <w:rsid w:val="00E92652"/>
    <w:rsid w:val="00E92A09"/>
    <w:rsid w:val="00E94073"/>
    <w:rsid w:val="00E94EC6"/>
    <w:rsid w:val="00E95D72"/>
    <w:rsid w:val="00E95DD8"/>
    <w:rsid w:val="00E96BFF"/>
    <w:rsid w:val="00EA05A0"/>
    <w:rsid w:val="00EA0C34"/>
    <w:rsid w:val="00EA0EBA"/>
    <w:rsid w:val="00EA1E77"/>
    <w:rsid w:val="00EA3814"/>
    <w:rsid w:val="00EA43F2"/>
    <w:rsid w:val="00EA4BED"/>
    <w:rsid w:val="00EA6825"/>
    <w:rsid w:val="00EB1304"/>
    <w:rsid w:val="00EB3BE4"/>
    <w:rsid w:val="00EB3E70"/>
    <w:rsid w:val="00EB424D"/>
    <w:rsid w:val="00EB514E"/>
    <w:rsid w:val="00EB518C"/>
    <w:rsid w:val="00EB520C"/>
    <w:rsid w:val="00EB64A2"/>
    <w:rsid w:val="00EB7194"/>
    <w:rsid w:val="00EC1343"/>
    <w:rsid w:val="00EC1468"/>
    <w:rsid w:val="00EC163B"/>
    <w:rsid w:val="00EC2C40"/>
    <w:rsid w:val="00EC2E47"/>
    <w:rsid w:val="00EC4950"/>
    <w:rsid w:val="00EC542C"/>
    <w:rsid w:val="00EC6801"/>
    <w:rsid w:val="00EC71D3"/>
    <w:rsid w:val="00ED1246"/>
    <w:rsid w:val="00ED2110"/>
    <w:rsid w:val="00ED2235"/>
    <w:rsid w:val="00ED53E8"/>
    <w:rsid w:val="00ED689E"/>
    <w:rsid w:val="00EE22C7"/>
    <w:rsid w:val="00EE2A4E"/>
    <w:rsid w:val="00EE352E"/>
    <w:rsid w:val="00EE5128"/>
    <w:rsid w:val="00EE5CA8"/>
    <w:rsid w:val="00EE6FAA"/>
    <w:rsid w:val="00EF106D"/>
    <w:rsid w:val="00EF28DF"/>
    <w:rsid w:val="00EF3D40"/>
    <w:rsid w:val="00EF3F5E"/>
    <w:rsid w:val="00EF43D5"/>
    <w:rsid w:val="00EF444A"/>
    <w:rsid w:val="00EF4B19"/>
    <w:rsid w:val="00EF5E6B"/>
    <w:rsid w:val="00EF63C1"/>
    <w:rsid w:val="00EF6B6E"/>
    <w:rsid w:val="00F017A6"/>
    <w:rsid w:val="00F01D7E"/>
    <w:rsid w:val="00F0531D"/>
    <w:rsid w:val="00F06E8E"/>
    <w:rsid w:val="00F06F86"/>
    <w:rsid w:val="00F07D1F"/>
    <w:rsid w:val="00F10C2D"/>
    <w:rsid w:val="00F1479B"/>
    <w:rsid w:val="00F15B66"/>
    <w:rsid w:val="00F16B9F"/>
    <w:rsid w:val="00F16E3E"/>
    <w:rsid w:val="00F16F26"/>
    <w:rsid w:val="00F223F2"/>
    <w:rsid w:val="00F231F4"/>
    <w:rsid w:val="00F263AB"/>
    <w:rsid w:val="00F26FDD"/>
    <w:rsid w:val="00F278B9"/>
    <w:rsid w:val="00F30AC5"/>
    <w:rsid w:val="00F31F59"/>
    <w:rsid w:val="00F33F9D"/>
    <w:rsid w:val="00F41744"/>
    <w:rsid w:val="00F420D1"/>
    <w:rsid w:val="00F42B92"/>
    <w:rsid w:val="00F44B6E"/>
    <w:rsid w:val="00F46081"/>
    <w:rsid w:val="00F46916"/>
    <w:rsid w:val="00F473E2"/>
    <w:rsid w:val="00F4789B"/>
    <w:rsid w:val="00F546DB"/>
    <w:rsid w:val="00F549C6"/>
    <w:rsid w:val="00F54B4A"/>
    <w:rsid w:val="00F55E30"/>
    <w:rsid w:val="00F5713C"/>
    <w:rsid w:val="00F5756D"/>
    <w:rsid w:val="00F57C65"/>
    <w:rsid w:val="00F603A8"/>
    <w:rsid w:val="00F60E18"/>
    <w:rsid w:val="00F61DE2"/>
    <w:rsid w:val="00F62488"/>
    <w:rsid w:val="00F62975"/>
    <w:rsid w:val="00F639F4"/>
    <w:rsid w:val="00F63B1D"/>
    <w:rsid w:val="00F645FF"/>
    <w:rsid w:val="00F65B0B"/>
    <w:rsid w:val="00F679A7"/>
    <w:rsid w:val="00F67D8A"/>
    <w:rsid w:val="00F71256"/>
    <w:rsid w:val="00F723E9"/>
    <w:rsid w:val="00F73813"/>
    <w:rsid w:val="00F73842"/>
    <w:rsid w:val="00F73ADE"/>
    <w:rsid w:val="00F73F8B"/>
    <w:rsid w:val="00F74C29"/>
    <w:rsid w:val="00F751F0"/>
    <w:rsid w:val="00F752B4"/>
    <w:rsid w:val="00F753AC"/>
    <w:rsid w:val="00F759DB"/>
    <w:rsid w:val="00F7631C"/>
    <w:rsid w:val="00F76336"/>
    <w:rsid w:val="00F76401"/>
    <w:rsid w:val="00F76BCE"/>
    <w:rsid w:val="00F8051B"/>
    <w:rsid w:val="00F811C2"/>
    <w:rsid w:val="00F8251B"/>
    <w:rsid w:val="00F83D41"/>
    <w:rsid w:val="00F84821"/>
    <w:rsid w:val="00F91238"/>
    <w:rsid w:val="00F93E76"/>
    <w:rsid w:val="00F96C7E"/>
    <w:rsid w:val="00F97986"/>
    <w:rsid w:val="00FA13EE"/>
    <w:rsid w:val="00FA2470"/>
    <w:rsid w:val="00FA4611"/>
    <w:rsid w:val="00FA6332"/>
    <w:rsid w:val="00FA7BC3"/>
    <w:rsid w:val="00FB0338"/>
    <w:rsid w:val="00FB11FC"/>
    <w:rsid w:val="00FB1520"/>
    <w:rsid w:val="00FB28D6"/>
    <w:rsid w:val="00FB32AE"/>
    <w:rsid w:val="00FB464F"/>
    <w:rsid w:val="00FB472D"/>
    <w:rsid w:val="00FB494F"/>
    <w:rsid w:val="00FC19EF"/>
    <w:rsid w:val="00FC6F8D"/>
    <w:rsid w:val="00FC701D"/>
    <w:rsid w:val="00FC78E9"/>
    <w:rsid w:val="00FD137C"/>
    <w:rsid w:val="00FD1549"/>
    <w:rsid w:val="00FD1C27"/>
    <w:rsid w:val="00FD2604"/>
    <w:rsid w:val="00FD372F"/>
    <w:rsid w:val="00FD6600"/>
    <w:rsid w:val="00FE05B3"/>
    <w:rsid w:val="00FE1005"/>
    <w:rsid w:val="00FE24C6"/>
    <w:rsid w:val="00FE2A91"/>
    <w:rsid w:val="00FE2C9F"/>
    <w:rsid w:val="00FE4297"/>
    <w:rsid w:val="00FE483C"/>
    <w:rsid w:val="00FE73A0"/>
    <w:rsid w:val="00FE7B83"/>
    <w:rsid w:val="00FF1AE7"/>
    <w:rsid w:val="00FF3568"/>
    <w:rsid w:val="00FF37D3"/>
    <w:rsid w:val="00FF3D3B"/>
    <w:rsid w:val="0152DD02"/>
    <w:rsid w:val="022C16D2"/>
    <w:rsid w:val="0270250F"/>
    <w:rsid w:val="02928750"/>
    <w:rsid w:val="02B33791"/>
    <w:rsid w:val="02D5B8D2"/>
    <w:rsid w:val="02ED5735"/>
    <w:rsid w:val="0312F50C"/>
    <w:rsid w:val="032F8105"/>
    <w:rsid w:val="0371AAD5"/>
    <w:rsid w:val="038D4642"/>
    <w:rsid w:val="044BB986"/>
    <w:rsid w:val="044EBE8E"/>
    <w:rsid w:val="04608ACA"/>
    <w:rsid w:val="048D0E75"/>
    <w:rsid w:val="04E6E23B"/>
    <w:rsid w:val="05019D34"/>
    <w:rsid w:val="051EFE0E"/>
    <w:rsid w:val="0550E926"/>
    <w:rsid w:val="059D9ACA"/>
    <w:rsid w:val="05C0E559"/>
    <w:rsid w:val="05E944BC"/>
    <w:rsid w:val="065B065C"/>
    <w:rsid w:val="06837152"/>
    <w:rsid w:val="06A104FD"/>
    <w:rsid w:val="07A46F30"/>
    <w:rsid w:val="07A52054"/>
    <w:rsid w:val="07BB60EB"/>
    <w:rsid w:val="0842FB81"/>
    <w:rsid w:val="084AB636"/>
    <w:rsid w:val="0874A2FB"/>
    <w:rsid w:val="088FAD25"/>
    <w:rsid w:val="08A96BFF"/>
    <w:rsid w:val="08F35084"/>
    <w:rsid w:val="0906D409"/>
    <w:rsid w:val="0916CDE4"/>
    <w:rsid w:val="0917A2C5"/>
    <w:rsid w:val="097583AD"/>
    <w:rsid w:val="0A5082EA"/>
    <w:rsid w:val="0B07FCA6"/>
    <w:rsid w:val="0B4B41DC"/>
    <w:rsid w:val="0BCD6972"/>
    <w:rsid w:val="0BEE19B3"/>
    <w:rsid w:val="0BFD8F1D"/>
    <w:rsid w:val="0C45205A"/>
    <w:rsid w:val="0C5591E3"/>
    <w:rsid w:val="0D8D817C"/>
    <w:rsid w:val="0E21B8CA"/>
    <w:rsid w:val="0E76FA04"/>
    <w:rsid w:val="0E817645"/>
    <w:rsid w:val="0EE02C0E"/>
    <w:rsid w:val="0F626ACA"/>
    <w:rsid w:val="0F746EEF"/>
    <w:rsid w:val="0F9CD9E5"/>
    <w:rsid w:val="0FAE14BC"/>
    <w:rsid w:val="0FC88ADE"/>
    <w:rsid w:val="1035AF52"/>
    <w:rsid w:val="10F42296"/>
    <w:rsid w:val="10F6430D"/>
    <w:rsid w:val="11364C66"/>
    <w:rsid w:val="11690C5F"/>
    <w:rsid w:val="11933CC2"/>
    <w:rsid w:val="11ED04F5"/>
    <w:rsid w:val="12732995"/>
    <w:rsid w:val="12E5F2E7"/>
    <w:rsid w:val="1329E224"/>
    <w:rsid w:val="134D5F84"/>
    <w:rsid w:val="139CAB76"/>
    <w:rsid w:val="13FE2E5E"/>
    <w:rsid w:val="148623FE"/>
    <w:rsid w:val="14ECC74D"/>
    <w:rsid w:val="152BC8F4"/>
    <w:rsid w:val="15D80542"/>
    <w:rsid w:val="15FA7AF0"/>
    <w:rsid w:val="1623AF34"/>
    <w:rsid w:val="1634F59E"/>
    <w:rsid w:val="1650ACB6"/>
    <w:rsid w:val="168EBDD1"/>
    <w:rsid w:val="169E27A8"/>
    <w:rsid w:val="16B9C315"/>
    <w:rsid w:val="16F368E2"/>
    <w:rsid w:val="17326A89"/>
    <w:rsid w:val="176864B4"/>
    <w:rsid w:val="183D8F71"/>
    <w:rsid w:val="18427D07"/>
    <w:rsid w:val="1849FE5A"/>
    <w:rsid w:val="18CA179D"/>
    <w:rsid w:val="1900F04B"/>
    <w:rsid w:val="1915C18F"/>
    <w:rsid w:val="19169670"/>
    <w:rsid w:val="1A0FABA0"/>
    <w:rsid w:val="1A5C5D44"/>
    <w:rsid w:val="1A6A48B4"/>
    <w:rsid w:val="1ACE1EE4"/>
    <w:rsid w:val="1B85AC54"/>
    <w:rsid w:val="1BA758B4"/>
    <w:rsid w:val="1BC9CE62"/>
    <w:rsid w:val="1BF10781"/>
    <w:rsid w:val="1C2C5F66"/>
    <w:rsid w:val="1C64C446"/>
    <w:rsid w:val="1C8FFC5B"/>
    <w:rsid w:val="1CD78D98"/>
    <w:rsid w:val="1CF2C137"/>
    <w:rsid w:val="1D01BDFB"/>
    <w:rsid w:val="1D4E6F9F"/>
    <w:rsid w:val="1DC7EBF4"/>
    <w:rsid w:val="1E0AFCAE"/>
    <w:rsid w:val="1E3E9B2A"/>
    <w:rsid w:val="1E62188A"/>
    <w:rsid w:val="1EA01E12"/>
    <w:rsid w:val="1EBBE0BD"/>
    <w:rsid w:val="1ECE42FD"/>
    <w:rsid w:val="1F0F8396"/>
    <w:rsid w:val="1F1DBEAF"/>
    <w:rsid w:val="1F2AE0D1"/>
    <w:rsid w:val="1F3FE4E6"/>
    <w:rsid w:val="1F460426"/>
    <w:rsid w:val="1F9ADD04"/>
    <w:rsid w:val="1FF4A537"/>
    <w:rsid w:val="20B9FE4F"/>
    <w:rsid w:val="225F4FCD"/>
    <w:rsid w:val="236D0370"/>
    <w:rsid w:val="2401E638"/>
    <w:rsid w:val="240BCE25"/>
    <w:rsid w:val="2422BFE0"/>
    <w:rsid w:val="24A4F309"/>
    <w:rsid w:val="24B46873"/>
    <w:rsid w:val="2553FC76"/>
    <w:rsid w:val="2563664D"/>
    <w:rsid w:val="25695B95"/>
    <w:rsid w:val="25C056A9"/>
    <w:rsid w:val="25CADE7D"/>
    <w:rsid w:val="25E49D57"/>
    <w:rsid w:val="2620E905"/>
    <w:rsid w:val="263F6D3C"/>
    <w:rsid w:val="26650B13"/>
    <w:rsid w:val="268E3F57"/>
    <w:rsid w:val="27400A50"/>
    <w:rsid w:val="275803BD"/>
    <w:rsid w:val="27646402"/>
    <w:rsid w:val="279A2D8D"/>
    <w:rsid w:val="295133B9"/>
    <w:rsid w:val="29DB2197"/>
    <w:rsid w:val="29F31B04"/>
    <w:rsid w:val="2A83BBE5"/>
    <w:rsid w:val="2ADE58F9"/>
    <w:rsid w:val="2B0D76F2"/>
    <w:rsid w:val="2B553B00"/>
    <w:rsid w:val="2B9CCC3D"/>
    <w:rsid w:val="2C68E3EB"/>
    <w:rsid w:val="2C69B8CC"/>
    <w:rsid w:val="2C8A5D7A"/>
    <w:rsid w:val="2CC799B4"/>
    <w:rsid w:val="2CE26040"/>
    <w:rsid w:val="2D282C10"/>
    <w:rsid w:val="2DA298F1"/>
    <w:rsid w:val="2E2AC162"/>
    <w:rsid w:val="2E3C9E49"/>
    <w:rsid w:val="2E6213E7"/>
    <w:rsid w:val="2E72529F"/>
    <w:rsid w:val="2E78EE14"/>
    <w:rsid w:val="2EA70AD6"/>
    <w:rsid w:val="2EFA9784"/>
    <w:rsid w:val="2F16D438"/>
    <w:rsid w:val="30BFE361"/>
    <w:rsid w:val="30D4EFE5"/>
    <w:rsid w:val="3173CED1"/>
    <w:rsid w:val="31991D31"/>
    <w:rsid w:val="31B1169E"/>
    <w:rsid w:val="31DB4701"/>
    <w:rsid w:val="320805EE"/>
    <w:rsid w:val="32B480D1"/>
    <w:rsid w:val="33182430"/>
    <w:rsid w:val="3345F693"/>
    <w:rsid w:val="33EB68B8"/>
    <w:rsid w:val="346BD674"/>
    <w:rsid w:val="348B2F8C"/>
    <w:rsid w:val="34D7AE5F"/>
    <w:rsid w:val="34E552C9"/>
    <w:rsid w:val="34EED2EB"/>
    <w:rsid w:val="35440892"/>
    <w:rsid w:val="354BC347"/>
    <w:rsid w:val="35619C3D"/>
    <w:rsid w:val="365A7E9C"/>
    <w:rsid w:val="36A73040"/>
    <w:rsid w:val="36C8A9CF"/>
    <w:rsid w:val="36F57480"/>
    <w:rsid w:val="37CC1402"/>
    <w:rsid w:val="37D76524"/>
    <w:rsid w:val="3853AE98"/>
    <w:rsid w:val="38B751F7"/>
    <w:rsid w:val="390D8F50"/>
    <w:rsid w:val="393C523F"/>
    <w:rsid w:val="3973FFCE"/>
    <w:rsid w:val="39740288"/>
    <w:rsid w:val="39A2C2BD"/>
    <w:rsid w:val="3A17AC86"/>
    <w:rsid w:val="3A6FAF4C"/>
    <w:rsid w:val="3AAEB0F3"/>
    <w:rsid w:val="3ABE265D"/>
    <w:rsid w:val="3AC9777F"/>
    <w:rsid w:val="3B73197F"/>
    <w:rsid w:val="3B7C99A1"/>
    <w:rsid w:val="3C075C60"/>
    <w:rsid w:val="3C492B26"/>
    <w:rsid w:val="3C97FD41"/>
    <w:rsid w:val="3CE84552"/>
    <w:rsid w:val="3D379144"/>
    <w:rsid w:val="3D6BB977"/>
    <w:rsid w:val="3DBC5EBB"/>
    <w:rsid w:val="3DE8E266"/>
    <w:rsid w:val="3E45BD8D"/>
    <w:rsid w:val="3E5D7125"/>
    <w:rsid w:val="3E86A569"/>
    <w:rsid w:val="3EF96EBB"/>
    <w:rsid w:val="3F011DDD"/>
    <w:rsid w:val="3F116828"/>
    <w:rsid w:val="3F3E02A9"/>
    <w:rsid w:val="3F65C8EE"/>
    <w:rsid w:val="3FBF9121"/>
    <w:rsid w:val="3FFCD8EE"/>
    <w:rsid w:val="400C0FF4"/>
    <w:rsid w:val="401B6BC3"/>
    <w:rsid w:val="40390D76"/>
    <w:rsid w:val="4081E0AA"/>
    <w:rsid w:val="40A085A6"/>
    <w:rsid w:val="40FA4DD9"/>
    <w:rsid w:val="41004321"/>
    <w:rsid w:val="4178B7C4"/>
    <w:rsid w:val="41B50372"/>
    <w:rsid w:val="41BEB665"/>
    <w:rsid w:val="42D78C79"/>
    <w:rsid w:val="43AC56DB"/>
    <w:rsid w:val="43CD071C"/>
    <w:rsid w:val="44FA7A74"/>
    <w:rsid w:val="45B40022"/>
    <w:rsid w:val="46A1915F"/>
    <w:rsid w:val="46C22C6B"/>
    <w:rsid w:val="4774D5E7"/>
    <w:rsid w:val="47E237CC"/>
    <w:rsid w:val="47E504EB"/>
    <w:rsid w:val="48067E7A"/>
    <w:rsid w:val="4833492B"/>
    <w:rsid w:val="48636ED6"/>
    <w:rsid w:val="48A3782F"/>
    <w:rsid w:val="48BE3EBB"/>
    <w:rsid w:val="48F8ADD6"/>
    <w:rsid w:val="4936B35E"/>
    <w:rsid w:val="496A6F76"/>
    <w:rsid w:val="49918343"/>
    <w:rsid w:val="49DB67C8"/>
    <w:rsid w:val="49F36135"/>
    <w:rsid w:val="4A3B2543"/>
    <w:rsid w:val="4A4FF687"/>
    <w:rsid w:val="4A67EFF4"/>
    <w:rsid w:val="4AEFE594"/>
    <w:rsid w:val="4B6D7A9E"/>
    <w:rsid w:val="4B958A8A"/>
    <w:rsid w:val="4BF51534"/>
    <w:rsid w:val="4D279D60"/>
    <w:rsid w:val="4D8432B2"/>
    <w:rsid w:val="4E489B3E"/>
    <w:rsid w:val="4E9F9652"/>
    <w:rsid w:val="4EE7278F"/>
    <w:rsid w:val="4EFD386E"/>
    <w:rsid w:val="4F070E82"/>
    <w:rsid w:val="4F1BDFC6"/>
    <w:rsid w:val="4F1E003D"/>
    <w:rsid w:val="4F3B8855"/>
    <w:rsid w:val="4F60D6B5"/>
    <w:rsid w:val="4FEA91C2"/>
    <w:rsid w:val="5019AFBB"/>
    <w:rsid w:val="507A4217"/>
    <w:rsid w:val="50F4AEF8"/>
    <w:rsid w:val="518BC767"/>
    <w:rsid w:val="51996362"/>
    <w:rsid w:val="51EF6DEA"/>
    <w:rsid w:val="52111A4A"/>
    <w:rsid w:val="52CE85DC"/>
    <w:rsid w:val="532955C1"/>
    <w:rsid w:val="536C5472"/>
    <w:rsid w:val="5449A9B1"/>
    <w:rsid w:val="54A85CC0"/>
    <w:rsid w:val="559F1EA8"/>
    <w:rsid w:val="55ABC6F3"/>
    <w:rsid w:val="560696D8"/>
    <w:rsid w:val="569051E5"/>
    <w:rsid w:val="56AA4390"/>
    <w:rsid w:val="56FF7937"/>
    <w:rsid w:val="570A010B"/>
    <w:rsid w:val="571C0530"/>
    <w:rsid w:val="578E9BB1"/>
    <w:rsid w:val="579A6F1B"/>
    <w:rsid w:val="57BDEC7B"/>
    <w:rsid w:val="58383DB1"/>
    <w:rsid w:val="589BB8D7"/>
    <w:rsid w:val="591755A3"/>
    <w:rsid w:val="59573F32"/>
    <w:rsid w:val="59F94647"/>
    <w:rsid w:val="5A0E178B"/>
    <w:rsid w:val="5A1ABFD6"/>
    <w:rsid w:val="5A8C8176"/>
    <w:rsid w:val="5AAFFED6"/>
    <w:rsid w:val="5AEED012"/>
    <w:rsid w:val="5BCB6276"/>
    <w:rsid w:val="5C34A013"/>
    <w:rsid w:val="5C366580"/>
    <w:rsid w:val="5CEB58A2"/>
    <w:rsid w:val="5D4848FE"/>
    <w:rsid w:val="5D69C28D"/>
    <w:rsid w:val="5D7E93D1"/>
    <w:rsid w:val="5E1C6267"/>
    <w:rsid w:val="5EBD74D1"/>
    <w:rsid w:val="5EC52F86"/>
    <w:rsid w:val="5EE6A915"/>
    <w:rsid w:val="5FDD6AFD"/>
    <w:rsid w:val="601F94CD"/>
    <w:rsid w:val="609BDE41"/>
    <w:rsid w:val="60B4AC8F"/>
    <w:rsid w:val="61BEFC96"/>
    <w:rsid w:val="6218C4C9"/>
    <w:rsid w:val="64672A6C"/>
    <w:rsid w:val="646EB250"/>
    <w:rsid w:val="65C58CBD"/>
    <w:rsid w:val="661E800F"/>
    <w:rsid w:val="666B31B3"/>
    <w:rsid w:val="668CAB42"/>
    <w:rsid w:val="66BA7DA5"/>
    <w:rsid w:val="66FE6CE2"/>
    <w:rsid w:val="671F1D23"/>
    <w:rsid w:val="67566FA8"/>
    <w:rsid w:val="67869553"/>
    <w:rsid w:val="67ABA54F"/>
    <w:rsid w:val="67BCE026"/>
    <w:rsid w:val="67CE2690"/>
    <w:rsid w:val="67DD9067"/>
    <w:rsid w:val="6859D9DB"/>
    <w:rsid w:val="68E79966"/>
    <w:rsid w:val="697EBD9D"/>
    <w:rsid w:val="69CC388F"/>
    <w:rsid w:val="69E873E0"/>
    <w:rsid w:val="69F3A766"/>
    <w:rsid w:val="6A144272"/>
    <w:rsid w:val="6A3D30E1"/>
    <w:rsid w:val="6A6670B8"/>
    <w:rsid w:val="6ACFA2C2"/>
    <w:rsid w:val="6B589481"/>
    <w:rsid w:val="6BA8DC92"/>
    <w:rsid w:val="6BB584DD"/>
    <w:rsid w:val="6BF998D3"/>
    <w:rsid w:val="6C5BFEB4"/>
    <w:rsid w:val="6C60BB3B"/>
    <w:rsid w:val="6CE5B9C1"/>
    <w:rsid w:val="6D2D7DCF"/>
    <w:rsid w:val="6D326B65"/>
    <w:rsid w:val="6D473CA9"/>
    <w:rsid w:val="6DBFC872"/>
    <w:rsid w:val="6E41FB9B"/>
    <w:rsid w:val="6E4AA6DC"/>
    <w:rsid w:val="6F0754B3"/>
    <w:rsid w:val="6F1644B1"/>
    <w:rsid w:val="6FC0DA61"/>
    <w:rsid w:val="6FC25B46"/>
    <w:rsid w:val="6FC78D64"/>
    <w:rsid w:val="70030431"/>
    <w:rsid w:val="701F902A"/>
    <w:rsid w:val="704A956E"/>
    <w:rsid w:val="70D648B9"/>
    <w:rsid w:val="71333915"/>
    <w:rsid w:val="71C96808"/>
    <w:rsid w:val="71D9B2EC"/>
    <w:rsid w:val="71F9670E"/>
    <w:rsid w:val="7246E200"/>
    <w:rsid w:val="7253831B"/>
    <w:rsid w:val="72592489"/>
    <w:rsid w:val="733CA7C9"/>
    <w:rsid w:val="73716000"/>
    <w:rsid w:val="7419FA4E"/>
    <w:rsid w:val="7431F3BB"/>
    <w:rsid w:val="74677540"/>
    <w:rsid w:val="74749762"/>
    <w:rsid w:val="74EB7969"/>
    <w:rsid w:val="75053843"/>
    <w:rsid w:val="754183F1"/>
    <w:rsid w:val="75A231F8"/>
    <w:rsid w:val="767B6BC8"/>
    <w:rsid w:val="76936535"/>
    <w:rsid w:val="76A2CF0C"/>
    <w:rsid w:val="76BD9598"/>
    <w:rsid w:val="7783C391"/>
    <w:rsid w:val="77CA7FED"/>
    <w:rsid w:val="78FDDCFA"/>
    <w:rsid w:val="7912AE3E"/>
    <w:rsid w:val="794080A1"/>
    <w:rsid w:val="7948C6FB"/>
    <w:rsid w:val="7965AB01"/>
    <w:rsid w:val="796D7E23"/>
    <w:rsid w:val="79AFA7F3"/>
    <w:rsid w:val="79BC503E"/>
    <w:rsid w:val="7A161871"/>
    <w:rsid w:val="7A5621CA"/>
    <w:rsid w:val="7A6E1B37"/>
    <w:rsid w:val="7B4C429D"/>
    <w:rsid w:val="7B69CAB5"/>
    <w:rsid w:val="7B92FEF9"/>
    <w:rsid w:val="7BE834A0"/>
    <w:rsid w:val="7C0836A6"/>
    <w:rsid w:val="7CEE6BF2"/>
    <w:rsid w:val="7D32DE14"/>
    <w:rsid w:val="7D602D92"/>
    <w:rsid w:val="7D6CD5DD"/>
    <w:rsid w:val="7E0214DD"/>
    <w:rsid w:val="7EF7DAA6"/>
    <w:rsid w:val="7F0D39C5"/>
    <w:rsid w:val="7F1D787D"/>
    <w:rsid w:val="7FABC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D2E0A86"/>
  <w15:chartTrackingRefBased/>
  <w15:docId w15:val="{A0759444-3FAF-44B8-96BA-58484F8583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rPr>
  </w:style>
  <w:style w:type="paragraph" w:styleId="Heading1">
    <w:name w:val="heading 1"/>
    <w:basedOn w:val="Normal"/>
    <w:next w:val="Normal"/>
    <w:qFormat/>
    <w:pPr>
      <w:keepNext/>
      <w:pBdr>
        <w:top w:val="single" w:color="auto" w:sz="6" w:space="1"/>
      </w:pBdr>
      <w:tabs>
        <w:tab w:val="left" w:pos="5400"/>
        <w:tab w:val="left" w:pos="7560"/>
      </w:tabs>
      <w:spacing w:line="360" w:lineRule="auto"/>
      <w:ind w:right="263"/>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next w:val="Normal"/>
    <w:pPr>
      <w:tabs>
        <w:tab w:val="center" w:pos="4320"/>
        <w:tab w:val="right" w:pos="8640"/>
      </w:tabs>
    </w:pPr>
  </w:style>
  <w:style w:type="paragraph" w:styleId="Header">
    <w:name w:val="header"/>
    <w:aliases w:val="Header-FS10,Header1,Header11,Header12,Header13,Header111,Header121,h"/>
    <w:basedOn w:val="Normal"/>
    <w:next w:val="Normal"/>
    <w:link w:val="HeaderChar"/>
    <w:pPr>
      <w:tabs>
        <w:tab w:val="center" w:pos="4320"/>
        <w:tab w:val="right" w:pos="8640"/>
      </w:tabs>
      <w:spacing w:before="120"/>
      <w:jc w:val="center"/>
    </w:pPr>
  </w:style>
  <w:style w:type="paragraph" w:styleId="ART" w:customStyle="1">
    <w:name w:val="ART"/>
    <w:basedOn w:val="Normal"/>
    <w:next w:val="PR1"/>
    <w:qFormat/>
    <w:rsid w:val="00B251B6"/>
    <w:pPr>
      <w:keepNext/>
      <w:numPr>
        <w:ilvl w:val="1"/>
        <w:numId w:val="1"/>
      </w:numPr>
      <w:tabs>
        <w:tab w:val="right" w:pos="10296"/>
      </w:tabs>
      <w:spacing w:before="240"/>
      <w:outlineLvl w:val="1"/>
    </w:pPr>
    <w:rPr>
      <w:rFonts w:cs="Arial"/>
      <w:b/>
    </w:rPr>
  </w:style>
  <w:style w:type="paragraph" w:styleId="PR1" w:customStyle="1">
    <w:name w:val="PR1"/>
    <w:basedOn w:val="Normal"/>
    <w:link w:val="PR1Char"/>
    <w:pPr>
      <w:numPr>
        <w:ilvl w:val="2"/>
        <w:numId w:val="1"/>
      </w:numPr>
      <w:tabs>
        <w:tab w:val="right" w:pos="10296"/>
      </w:tabs>
      <w:spacing w:before="120"/>
      <w:outlineLvl w:val="2"/>
    </w:pPr>
  </w:style>
  <w:style w:type="paragraph" w:styleId="PR2" w:customStyle="1">
    <w:name w:val="PR2"/>
    <w:basedOn w:val="Normal"/>
    <w:link w:val="PR2Char"/>
    <w:pPr>
      <w:numPr>
        <w:ilvl w:val="3"/>
        <w:numId w:val="1"/>
      </w:numPr>
      <w:tabs>
        <w:tab w:val="right" w:pos="10296"/>
      </w:tabs>
      <w:outlineLvl w:val="3"/>
    </w:pPr>
  </w:style>
  <w:style w:type="paragraph" w:styleId="PR3" w:customStyle="1">
    <w:name w:val="PR3"/>
    <w:basedOn w:val="Normal"/>
    <w:pPr>
      <w:numPr>
        <w:ilvl w:val="4"/>
        <w:numId w:val="1"/>
      </w:numPr>
      <w:tabs>
        <w:tab w:val="clear" w:pos="3672"/>
        <w:tab w:val="num" w:pos="1368"/>
        <w:tab w:val="right" w:pos="10296"/>
      </w:tabs>
      <w:ind w:left="1368"/>
      <w:outlineLvl w:val="4"/>
    </w:pPr>
  </w:style>
  <w:style w:type="paragraph" w:styleId="PR4" w:customStyle="1">
    <w:name w:val="PR4"/>
    <w:basedOn w:val="Normal"/>
    <w:pPr>
      <w:numPr>
        <w:ilvl w:val="5"/>
        <w:numId w:val="1"/>
      </w:numPr>
      <w:tabs>
        <w:tab w:val="right" w:pos="10296"/>
      </w:tabs>
      <w:outlineLvl w:val="5"/>
    </w:pPr>
  </w:style>
  <w:style w:type="paragraph" w:styleId="PR5" w:customStyle="1">
    <w:name w:val="PR5"/>
    <w:basedOn w:val="Normal"/>
    <w:pPr>
      <w:numPr>
        <w:ilvl w:val="6"/>
        <w:numId w:val="1"/>
      </w:numPr>
      <w:tabs>
        <w:tab w:val="right" w:pos="10296"/>
      </w:tabs>
      <w:outlineLvl w:val="6"/>
    </w:pPr>
  </w:style>
  <w:style w:type="paragraph" w:styleId="hidden" w:customStyle="1">
    <w:name w:val="hidden"/>
    <w:basedOn w:val="Normal"/>
    <w:pPr>
      <w:keepNext/>
      <w:tabs>
        <w:tab w:val="left" w:pos="360"/>
      </w:tabs>
    </w:pPr>
    <w:rPr>
      <w:i/>
      <w:vanish/>
      <w:color w:val="800080"/>
    </w:rPr>
  </w:style>
  <w:style w:type="paragraph" w:styleId="EOS" w:customStyle="1">
    <w:name w:val="EOS"/>
    <w:basedOn w:val="Normal"/>
    <w:pPr>
      <w:spacing w:before="360"/>
      <w:jc w:val="center"/>
    </w:pPr>
    <w:rPr>
      <w:rFonts w:cs="Arial"/>
      <w:b/>
    </w:rPr>
  </w:style>
  <w:style w:type="paragraph" w:styleId="hw" w:customStyle="1">
    <w:name w:val="hw"/>
    <w:basedOn w:val="Normal"/>
    <w:pPr>
      <w:keepNext/>
      <w:tabs>
        <w:tab w:val="right" w:pos="1520"/>
        <w:tab w:val="left" w:pos="1800"/>
        <w:tab w:val="left" w:leader="dot" w:pos="4040"/>
        <w:tab w:val="right" w:pos="10160"/>
      </w:tabs>
      <w:ind w:left="4500" w:hanging="4060"/>
    </w:pPr>
  </w:style>
  <w:style w:type="paragraph" w:styleId="hdwheading" w:customStyle="1">
    <w:name w:val="hdw heading"/>
    <w:basedOn w:val="PR1"/>
    <w:next w:val="hw"/>
    <w:pPr>
      <w:keepNext/>
      <w:pBdr>
        <w:top w:val="single" w:color="auto" w:sz="2" w:space="0"/>
      </w:pBdr>
    </w:pPr>
  </w:style>
  <w:style w:type="paragraph" w:styleId="Arch" w:customStyle="1">
    <w:name w:val="Arch"/>
    <w:basedOn w:val="Normal"/>
    <w:pPr>
      <w:tabs>
        <w:tab w:val="center" w:pos="4320"/>
        <w:tab w:val="left" w:pos="5120"/>
      </w:tabs>
      <w:spacing w:before="1000" w:line="260" w:lineRule="exact"/>
      <w:ind w:right="-720"/>
    </w:pPr>
    <w:rPr>
      <w:rFonts w:ascii="Futura Condensed" w:hAnsi="Futura Condensed"/>
      <w:b/>
      <w:spacing w:val="240"/>
      <w:position w:val="54"/>
      <w:sz w:val="16"/>
    </w:rPr>
  </w:style>
  <w:style w:type="paragraph" w:styleId="Body" w:customStyle="1">
    <w:name w:val="Body"/>
    <w:basedOn w:val="Normal"/>
    <w:pPr>
      <w:spacing w:line="260" w:lineRule="atLeast"/>
    </w:pPr>
  </w:style>
  <w:style w:type="paragraph" w:styleId="DocumentTitle" w:customStyle="1">
    <w:name w:val="Document Title"/>
    <w:basedOn w:val="Normal"/>
    <w:next w:val="Body"/>
    <w:pPr>
      <w:spacing w:line="260" w:lineRule="atLeast"/>
      <w:ind w:left="-1080"/>
    </w:pPr>
    <w:rPr>
      <w:rFonts w:ascii="CB Futura CondensedBold" w:hAnsi="CB Futura CondensedBold"/>
      <w:spacing w:val="40"/>
      <w:sz w:val="24"/>
    </w:rPr>
  </w:style>
  <w:style w:type="paragraph" w:styleId="Header2" w:customStyle="1">
    <w:name w:val="Header2"/>
    <w:rPr>
      <w:rFonts w:ascii="Times" w:hAnsi="Times"/>
      <w:sz w:val="22"/>
    </w:rPr>
  </w:style>
  <w:style w:type="paragraph" w:styleId="PRT" w:customStyle="1">
    <w:name w:val="PRT"/>
    <w:basedOn w:val="Normal"/>
    <w:pPr>
      <w:keepNext/>
      <w:numPr>
        <w:numId w:val="1"/>
      </w:numPr>
      <w:spacing w:before="360"/>
      <w:outlineLvl w:val="0"/>
    </w:pPr>
    <w:rPr>
      <w:rFonts w:cs="Arial"/>
      <w:b/>
    </w:rPr>
  </w:style>
  <w:style w:type="paragraph" w:styleId="SCT" w:customStyle="1">
    <w:name w:val="SCT"/>
    <w:basedOn w:val="Normal"/>
    <w:rPr>
      <w:vanish/>
    </w:rPr>
  </w:style>
  <w:style w:type="character" w:styleId="PageNumber">
    <w:name w:val="page number"/>
    <w:basedOn w:val="DefaultParagraphFont"/>
  </w:style>
  <w:style w:type="character" w:styleId="Hyperlink">
    <w:name w:val="Hyperlink"/>
    <w:rPr>
      <w:color w:val="0000FF"/>
      <w:u w:val="single"/>
    </w:rPr>
  </w:style>
  <w:style w:type="character" w:styleId="PR2Char" w:customStyle="1">
    <w:name w:val="PR2 Char"/>
    <w:link w:val="PR2"/>
    <w:rPr>
      <w:rFonts w:ascii="Arial" w:hAnsi="Arial"/>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1Char" w:customStyle="1">
    <w:name w:val="PR1 Char"/>
    <w:link w:val="PR1"/>
    <w:rPr>
      <w:rFonts w:ascii="Arial" w:hAnsi="Arial"/>
    </w:rPr>
  </w:style>
  <w:style w:type="paragraph" w:styleId="PR11" w:customStyle="1">
    <w:name w:val="PR11"/>
    <w:basedOn w:val="PR1"/>
    <w:pPr>
      <w:keepNext/>
      <w:ind w:right="8070"/>
    </w:pPr>
  </w:style>
  <w:style w:type="paragraph" w:styleId="BalloonText">
    <w:name w:val="Balloon Text"/>
    <w:basedOn w:val="Normal"/>
    <w:semiHidden/>
    <w:rsid w:val="00904B71"/>
    <w:rPr>
      <w:rFonts w:ascii="Tahoma" w:hAnsi="Tahoma" w:cs="Tahoma"/>
      <w:sz w:val="16"/>
      <w:szCs w:val="16"/>
    </w:rPr>
  </w:style>
  <w:style w:type="paragraph" w:styleId="SPECPARANUM1" w:customStyle="1">
    <w:name w:val="SPEC PARA NUM [1]"/>
    <w:basedOn w:val="Normal"/>
    <w:next w:val="SPECPARANUM2"/>
    <w:rsid w:val="00E3327C"/>
    <w:pPr>
      <w:numPr>
        <w:numId w:val="2"/>
      </w:numPr>
      <w:spacing w:before="120"/>
    </w:pPr>
    <w:rPr>
      <w:rFonts w:cs="Lucida Sans Unicode"/>
      <w:snapToGrid w:val="0"/>
    </w:rPr>
  </w:style>
  <w:style w:type="paragraph" w:styleId="SPECPARANUM2" w:customStyle="1">
    <w:name w:val="SPEC PARA NUM [2]"/>
    <w:basedOn w:val="Normal"/>
    <w:rsid w:val="00E3327C"/>
    <w:pPr>
      <w:keepNext/>
      <w:keepLines/>
      <w:numPr>
        <w:ilvl w:val="1"/>
        <w:numId w:val="2"/>
      </w:numPr>
      <w:spacing w:before="240"/>
    </w:pPr>
    <w:rPr>
      <w:rFonts w:cs="Arial"/>
      <w:snapToGrid w:val="0"/>
    </w:rPr>
  </w:style>
  <w:style w:type="paragraph" w:styleId="SPECPARANUM3" w:customStyle="1">
    <w:name w:val="SPEC PARA NUM [3]"/>
    <w:basedOn w:val="Normal"/>
    <w:rsid w:val="00E3327C"/>
    <w:pPr>
      <w:numPr>
        <w:ilvl w:val="2"/>
        <w:numId w:val="2"/>
      </w:numPr>
      <w:spacing w:before="120"/>
    </w:pPr>
    <w:rPr>
      <w:rFonts w:cs="Arial"/>
      <w:snapToGrid w:val="0"/>
    </w:rPr>
  </w:style>
  <w:style w:type="paragraph" w:styleId="SPECPARANUM4" w:customStyle="1">
    <w:name w:val="SPEC PARA NUM [4]"/>
    <w:basedOn w:val="Normal"/>
    <w:link w:val="SPECPARANUM4Char"/>
    <w:rsid w:val="00E3327C"/>
    <w:pPr>
      <w:numPr>
        <w:ilvl w:val="3"/>
        <w:numId w:val="2"/>
      </w:numPr>
      <w:spacing w:before="120"/>
      <w:contextualSpacing/>
    </w:pPr>
    <w:rPr>
      <w:rFonts w:cs="Arial"/>
      <w:snapToGrid w:val="0"/>
      <w:color w:val="000000"/>
      <w:szCs w:val="24"/>
    </w:rPr>
  </w:style>
  <w:style w:type="paragraph" w:styleId="SPECPARANUM5" w:customStyle="1">
    <w:name w:val="SPEC PARA NUM [5]"/>
    <w:basedOn w:val="Normal"/>
    <w:rsid w:val="00E3327C"/>
    <w:pPr>
      <w:widowControl w:val="0"/>
      <w:numPr>
        <w:ilvl w:val="4"/>
        <w:numId w:val="2"/>
      </w:numPr>
      <w:spacing w:before="120"/>
      <w:contextualSpacing/>
    </w:pPr>
    <w:rPr>
      <w:rFonts w:cs="Lucida Sans Unicode"/>
      <w:snapToGrid w:val="0"/>
    </w:rPr>
  </w:style>
  <w:style w:type="paragraph" w:styleId="SPECPARANUM6" w:customStyle="1">
    <w:name w:val="SPEC PARA NUM [6]"/>
    <w:basedOn w:val="Normal"/>
    <w:link w:val="SPECPARANUM6Char"/>
    <w:qFormat/>
    <w:rsid w:val="00E3327C"/>
    <w:pPr>
      <w:widowControl w:val="0"/>
      <w:numPr>
        <w:ilvl w:val="5"/>
        <w:numId w:val="2"/>
      </w:numPr>
      <w:spacing w:before="120"/>
      <w:contextualSpacing/>
    </w:pPr>
    <w:rPr>
      <w:rFonts w:cs="Lucida Sans Unicode"/>
      <w:snapToGrid w:val="0"/>
    </w:rPr>
  </w:style>
  <w:style w:type="character" w:styleId="SPECPARANUM4Char" w:customStyle="1">
    <w:name w:val="SPEC PARA NUM [4] Char"/>
    <w:link w:val="SPECPARANUM4"/>
    <w:rsid w:val="00E3327C"/>
    <w:rPr>
      <w:rFonts w:ascii="Arial" w:hAnsi="Arial" w:cs="Arial"/>
      <w:snapToGrid w:val="0"/>
      <w:color w:val="000000"/>
      <w:szCs w:val="24"/>
    </w:rPr>
  </w:style>
  <w:style w:type="paragraph" w:styleId="Revision">
    <w:name w:val="Revision"/>
    <w:hidden/>
    <w:uiPriority w:val="99"/>
    <w:semiHidden/>
    <w:rsid w:val="002F1383"/>
    <w:rPr>
      <w:rFonts w:ascii="Arial" w:hAnsi="Arial"/>
    </w:rPr>
  </w:style>
  <w:style w:type="character" w:styleId="HeaderChar" w:customStyle="1">
    <w:name w:val="Header Char"/>
    <w:aliases w:val="Header-FS10 Char,Header1 Char,Header11 Char,Header12 Char,Header13 Char,Header111 Char,Header121 Char,h Char"/>
    <w:link w:val="Header"/>
    <w:rsid w:val="00A45A6F"/>
    <w:rPr>
      <w:rFonts w:ascii="Arial" w:hAnsi="Arial"/>
    </w:rPr>
  </w:style>
  <w:style w:type="paragraph" w:styleId="ListParagraph">
    <w:name w:val="List Paragraph"/>
    <w:basedOn w:val="Normal"/>
    <w:uiPriority w:val="34"/>
    <w:qFormat/>
    <w:rsid w:val="00AE01C7"/>
    <w:pPr>
      <w:ind w:left="720"/>
      <w:contextualSpacing/>
    </w:pPr>
    <w:rPr>
      <w:rFonts w:cs="Arial"/>
      <w:snapToGrid w:val="0"/>
    </w:rPr>
  </w:style>
  <w:style w:type="character" w:styleId="CommentReference">
    <w:name w:val="annotation reference"/>
    <w:rsid w:val="00B251B6"/>
    <w:rPr>
      <w:sz w:val="16"/>
      <w:szCs w:val="16"/>
    </w:rPr>
  </w:style>
  <w:style w:type="paragraph" w:styleId="CommentText">
    <w:name w:val="annotation text"/>
    <w:basedOn w:val="Normal"/>
    <w:link w:val="CommentTextChar"/>
    <w:rsid w:val="00B251B6"/>
    <w:rPr>
      <w:rFonts w:cs="Arial"/>
      <w:snapToGrid w:val="0"/>
    </w:rPr>
  </w:style>
  <w:style w:type="character" w:styleId="CommentTextChar" w:customStyle="1">
    <w:name w:val="Comment Text Char"/>
    <w:link w:val="CommentText"/>
    <w:rsid w:val="00B251B6"/>
    <w:rPr>
      <w:rFonts w:ascii="Arial" w:hAnsi="Arial" w:cs="Arial"/>
      <w:snapToGrid w:val="0"/>
    </w:rPr>
  </w:style>
  <w:style w:type="paragraph" w:styleId="SPECPNUM7" w:customStyle="1">
    <w:name w:val="SPEC  P NUM [7]"/>
    <w:basedOn w:val="SPECPARANUM6"/>
    <w:link w:val="SPECPNUM7Char"/>
    <w:qFormat/>
    <w:rsid w:val="00B251B6"/>
    <w:pPr>
      <w:widowControl/>
      <w:numPr>
        <w:ilvl w:val="0"/>
        <w:numId w:val="3"/>
      </w:numPr>
      <w:spacing w:before="0"/>
      <w:contextualSpacing w:val="0"/>
    </w:pPr>
    <w:rPr>
      <w:rFonts w:cs="Arial"/>
    </w:rPr>
  </w:style>
  <w:style w:type="character" w:styleId="SPECPARANUM6Char" w:customStyle="1">
    <w:name w:val="SPEC PARA NUM [6] Char"/>
    <w:link w:val="SPECPARANUM6"/>
    <w:rsid w:val="00B251B6"/>
    <w:rPr>
      <w:rFonts w:ascii="Arial" w:hAnsi="Arial" w:cs="Lucida Sans Unicode"/>
      <w:snapToGrid w:val="0"/>
    </w:rPr>
  </w:style>
  <w:style w:type="character" w:styleId="SPECPNUM7Char" w:customStyle="1">
    <w:name w:val="SPEC  P NUM [7] Char"/>
    <w:link w:val="SPECPNUM7"/>
    <w:rsid w:val="00B251B6"/>
    <w:rPr>
      <w:rFonts w:ascii="Arial" w:hAnsi="Arial" w:cs="Arial"/>
      <w:snapToGrid w:val="0"/>
    </w:rPr>
  </w:style>
  <w:style w:type="character" w:styleId="UnresolvedMention">
    <w:name w:val="Unresolved Mention"/>
    <w:uiPriority w:val="99"/>
    <w:semiHidden/>
    <w:unhideWhenUsed/>
    <w:rsid w:val="00414834"/>
    <w:rPr>
      <w:color w:val="808080"/>
      <w:shd w:val="clear" w:color="auto" w:fill="E6E6E6"/>
    </w:rPr>
  </w:style>
  <w:style w:type="paragraph" w:styleId="CommentSubject">
    <w:name w:val="annotation subject"/>
    <w:basedOn w:val="CommentText"/>
    <w:next w:val="CommentText"/>
    <w:link w:val="CommentSubjectChar"/>
    <w:rsid w:val="00D53E59"/>
    <w:rPr>
      <w:rFonts w:cs="Times New Roman"/>
      <w:b/>
      <w:bCs/>
      <w:snapToGrid/>
    </w:rPr>
  </w:style>
  <w:style w:type="character" w:styleId="CommentSubjectChar" w:customStyle="1">
    <w:name w:val="Comment Subject Char"/>
    <w:link w:val="CommentSubject"/>
    <w:rsid w:val="00D53E59"/>
    <w:rPr>
      <w:rFonts w:ascii="Arial" w:hAnsi="Arial" w:cs="Arial"/>
      <w:b/>
      <w:bCs/>
      <w:snapToGrid/>
    </w:rPr>
  </w:style>
  <w:style w:type="character" w:styleId="markedcontent" w:customStyle="1">
    <w:name w:val="markedcontent"/>
    <w:basedOn w:val="DefaultParagraphFont"/>
    <w:rsid w:val="003534A1"/>
  </w:style>
  <w:style w:type="paragraph" w:styleId="NoSpacing">
    <w:name w:val="No Spacing"/>
    <w:uiPriority w:val="1"/>
    <w:qFormat/>
    <w:rsid w:val="00ED53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824">
      <w:bodyDiv w:val="1"/>
      <w:marLeft w:val="0"/>
      <w:marRight w:val="0"/>
      <w:marTop w:val="0"/>
      <w:marBottom w:val="0"/>
      <w:divBdr>
        <w:top w:val="none" w:sz="0" w:space="0" w:color="auto"/>
        <w:left w:val="none" w:sz="0" w:space="0" w:color="auto"/>
        <w:bottom w:val="none" w:sz="0" w:space="0" w:color="auto"/>
        <w:right w:val="none" w:sz="0" w:space="0" w:color="auto"/>
      </w:divBdr>
    </w:div>
    <w:div w:id="229845876">
      <w:bodyDiv w:val="1"/>
      <w:marLeft w:val="0"/>
      <w:marRight w:val="0"/>
      <w:marTop w:val="0"/>
      <w:marBottom w:val="0"/>
      <w:divBdr>
        <w:top w:val="none" w:sz="0" w:space="0" w:color="auto"/>
        <w:left w:val="none" w:sz="0" w:space="0" w:color="auto"/>
        <w:bottom w:val="none" w:sz="0" w:space="0" w:color="auto"/>
        <w:right w:val="none" w:sz="0" w:space="0" w:color="auto"/>
      </w:divBdr>
    </w:div>
    <w:div w:id="285432533">
      <w:bodyDiv w:val="1"/>
      <w:marLeft w:val="0"/>
      <w:marRight w:val="0"/>
      <w:marTop w:val="0"/>
      <w:marBottom w:val="0"/>
      <w:divBdr>
        <w:top w:val="none" w:sz="0" w:space="0" w:color="auto"/>
        <w:left w:val="none" w:sz="0" w:space="0" w:color="auto"/>
        <w:bottom w:val="none" w:sz="0" w:space="0" w:color="auto"/>
        <w:right w:val="none" w:sz="0" w:space="0" w:color="auto"/>
      </w:divBdr>
    </w:div>
    <w:div w:id="318845633">
      <w:bodyDiv w:val="1"/>
      <w:marLeft w:val="0"/>
      <w:marRight w:val="0"/>
      <w:marTop w:val="0"/>
      <w:marBottom w:val="0"/>
      <w:divBdr>
        <w:top w:val="none" w:sz="0" w:space="0" w:color="auto"/>
        <w:left w:val="none" w:sz="0" w:space="0" w:color="auto"/>
        <w:bottom w:val="none" w:sz="0" w:space="0" w:color="auto"/>
        <w:right w:val="none" w:sz="0" w:space="0" w:color="auto"/>
      </w:divBdr>
    </w:div>
    <w:div w:id="429543033">
      <w:bodyDiv w:val="1"/>
      <w:marLeft w:val="0"/>
      <w:marRight w:val="0"/>
      <w:marTop w:val="0"/>
      <w:marBottom w:val="0"/>
      <w:divBdr>
        <w:top w:val="none" w:sz="0" w:space="0" w:color="auto"/>
        <w:left w:val="none" w:sz="0" w:space="0" w:color="auto"/>
        <w:bottom w:val="none" w:sz="0" w:space="0" w:color="auto"/>
        <w:right w:val="none" w:sz="0" w:space="0" w:color="auto"/>
      </w:divBdr>
    </w:div>
    <w:div w:id="435566504">
      <w:bodyDiv w:val="1"/>
      <w:marLeft w:val="0"/>
      <w:marRight w:val="0"/>
      <w:marTop w:val="0"/>
      <w:marBottom w:val="0"/>
      <w:divBdr>
        <w:top w:val="none" w:sz="0" w:space="0" w:color="auto"/>
        <w:left w:val="none" w:sz="0" w:space="0" w:color="auto"/>
        <w:bottom w:val="none" w:sz="0" w:space="0" w:color="auto"/>
        <w:right w:val="none" w:sz="0" w:space="0" w:color="auto"/>
      </w:divBdr>
    </w:div>
    <w:div w:id="482477082">
      <w:bodyDiv w:val="1"/>
      <w:marLeft w:val="0"/>
      <w:marRight w:val="0"/>
      <w:marTop w:val="0"/>
      <w:marBottom w:val="0"/>
      <w:divBdr>
        <w:top w:val="none" w:sz="0" w:space="0" w:color="auto"/>
        <w:left w:val="none" w:sz="0" w:space="0" w:color="auto"/>
        <w:bottom w:val="none" w:sz="0" w:space="0" w:color="auto"/>
        <w:right w:val="none" w:sz="0" w:space="0" w:color="auto"/>
      </w:divBdr>
    </w:div>
    <w:div w:id="795368931">
      <w:bodyDiv w:val="1"/>
      <w:marLeft w:val="0"/>
      <w:marRight w:val="0"/>
      <w:marTop w:val="0"/>
      <w:marBottom w:val="0"/>
      <w:divBdr>
        <w:top w:val="none" w:sz="0" w:space="0" w:color="auto"/>
        <w:left w:val="none" w:sz="0" w:space="0" w:color="auto"/>
        <w:bottom w:val="none" w:sz="0" w:space="0" w:color="auto"/>
        <w:right w:val="none" w:sz="0" w:space="0" w:color="auto"/>
      </w:divBdr>
    </w:div>
    <w:div w:id="1191335372">
      <w:bodyDiv w:val="1"/>
      <w:marLeft w:val="0"/>
      <w:marRight w:val="0"/>
      <w:marTop w:val="0"/>
      <w:marBottom w:val="0"/>
      <w:divBdr>
        <w:top w:val="none" w:sz="0" w:space="0" w:color="auto"/>
        <w:left w:val="none" w:sz="0" w:space="0" w:color="auto"/>
        <w:bottom w:val="none" w:sz="0" w:space="0" w:color="auto"/>
        <w:right w:val="none" w:sz="0" w:space="0" w:color="auto"/>
      </w:divBdr>
    </w:div>
    <w:div w:id="1489977107">
      <w:bodyDiv w:val="1"/>
      <w:marLeft w:val="0"/>
      <w:marRight w:val="0"/>
      <w:marTop w:val="0"/>
      <w:marBottom w:val="0"/>
      <w:divBdr>
        <w:top w:val="none" w:sz="0" w:space="0" w:color="auto"/>
        <w:left w:val="none" w:sz="0" w:space="0" w:color="auto"/>
        <w:bottom w:val="none" w:sz="0" w:space="0" w:color="auto"/>
        <w:right w:val="none" w:sz="0" w:space="0" w:color="auto"/>
      </w:divBdr>
    </w:div>
    <w:div w:id="1776319607">
      <w:bodyDiv w:val="1"/>
      <w:marLeft w:val="0"/>
      <w:marRight w:val="0"/>
      <w:marTop w:val="0"/>
      <w:marBottom w:val="0"/>
      <w:divBdr>
        <w:top w:val="none" w:sz="0" w:space="0" w:color="auto"/>
        <w:left w:val="none" w:sz="0" w:space="0" w:color="auto"/>
        <w:bottom w:val="none" w:sz="0" w:space="0" w:color="auto"/>
        <w:right w:val="none" w:sz="0" w:space="0" w:color="auto"/>
      </w:divBdr>
      <w:divsChild>
        <w:div w:id="309483696">
          <w:marLeft w:val="0"/>
          <w:marRight w:val="0"/>
          <w:marTop w:val="0"/>
          <w:marBottom w:val="0"/>
          <w:divBdr>
            <w:top w:val="none" w:sz="0" w:space="0" w:color="auto"/>
            <w:left w:val="none" w:sz="0" w:space="0" w:color="auto"/>
            <w:bottom w:val="none" w:sz="0" w:space="0" w:color="auto"/>
            <w:right w:val="none" w:sz="0" w:space="0" w:color="auto"/>
          </w:divBdr>
        </w:div>
        <w:div w:id="1809081608">
          <w:marLeft w:val="0"/>
          <w:marRight w:val="0"/>
          <w:marTop w:val="0"/>
          <w:marBottom w:val="0"/>
          <w:divBdr>
            <w:top w:val="none" w:sz="0" w:space="0" w:color="auto"/>
            <w:left w:val="none" w:sz="0" w:space="0" w:color="auto"/>
            <w:bottom w:val="none" w:sz="0" w:space="0" w:color="auto"/>
            <w:right w:val="none" w:sz="0" w:space="0" w:color="auto"/>
          </w:divBdr>
        </w:div>
      </w:divsChild>
    </w:div>
    <w:div w:id="1797022725">
      <w:bodyDiv w:val="1"/>
      <w:marLeft w:val="0"/>
      <w:marRight w:val="0"/>
      <w:marTop w:val="0"/>
      <w:marBottom w:val="0"/>
      <w:divBdr>
        <w:top w:val="none" w:sz="0" w:space="0" w:color="auto"/>
        <w:left w:val="none" w:sz="0" w:space="0" w:color="auto"/>
        <w:bottom w:val="none" w:sz="0" w:space="0" w:color="auto"/>
        <w:right w:val="none" w:sz="0" w:space="0" w:color="auto"/>
      </w:divBdr>
    </w:div>
    <w:div w:id="1898471508">
      <w:bodyDiv w:val="1"/>
      <w:marLeft w:val="0"/>
      <w:marRight w:val="0"/>
      <w:marTop w:val="0"/>
      <w:marBottom w:val="0"/>
      <w:divBdr>
        <w:top w:val="none" w:sz="0" w:space="0" w:color="auto"/>
        <w:left w:val="none" w:sz="0" w:space="0" w:color="auto"/>
        <w:bottom w:val="none" w:sz="0" w:space="0" w:color="auto"/>
        <w:right w:val="none" w:sz="0" w:space="0" w:color="auto"/>
      </w:divBdr>
    </w:div>
    <w:div w:id="21450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xemplarybuilding.housingconsortium.org/wp-content/uploads/sites/2/2021/05/HDC-EBP-Guidelines-for-EID_-v.1.0-May-202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xemplarybuilding.housingconsortium.org/wp-content/uploads/sites/2/2022/09/EBP-Guidelines-for-Water_-v.1.0_-2022.09.26.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xemplarybuilding.housingconsortium.org/wp-content/uploads/sites/2/2021/12/HDC-EBP-BVHR-Guidelines_-v.1.1-12.202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sgbc.org/resources/leed-v4-homes-and-multifamily-midrise-current-version" TargetMode="External"/><Relationship Id="rId20" Type="http://schemas.openxmlformats.org/officeDocument/2006/relationships/hyperlink" Target="https://exemplarybuilding.housingconsortium.org/wp-content/uploads/sites/2/2022/10/HDC-EBP_-Guidelines-for-Wall-Assemblies_-v.1.1-October-2022.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xemplarybuilding.housingconsortium.org/our-results-practical-tools/" TargetMode="External"/><Relationship Id="rId23" Type="http://schemas.openxmlformats.org/officeDocument/2006/relationships/hyperlink" Target="https://ejscreen.epa.gov/mapp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emplarybuilding.housingconsortium.org/wp-content/uploads/sites/2/2021/01/HDC-EBP-Guidelines-for-Solar-Integration_-v.1.0.3-January-2021.pdf"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exemplarybuilding.housingconsortium.org/wp-content/uploads/sites/2/2023/05/HDC_EBP-Healthy-Material_23-0129_v9.xlsx"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hared\OB360_Tools\REZ\01_PM_Tools\2A.%20DDs\Spec%20Sections\LEEDv4MFMR\018113_SustBldReq_v4HomesUSE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f6f0d4-1538-402d-ab02-3f66b5ae8595">
      <Terms xmlns="http://schemas.microsoft.com/office/infopath/2007/PartnerControls"/>
    </lcf76f155ced4ddcb4097134ff3c332f>
    <TaxCatchAll xmlns="f8908da8-ead9-4d3d-9206-26aa9226c3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DBE8321FE004A821C34615A74102F" ma:contentTypeVersion="17" ma:contentTypeDescription="Create a new document." ma:contentTypeScope="" ma:versionID="d5061d81a5184328d439ee80f84089b2">
  <xsd:schema xmlns:xsd="http://www.w3.org/2001/XMLSchema" xmlns:xs="http://www.w3.org/2001/XMLSchema" xmlns:p="http://schemas.microsoft.com/office/2006/metadata/properties" xmlns:ns2="87f6f0d4-1538-402d-ab02-3f66b5ae8595" xmlns:ns3="f8908da8-ead9-4d3d-9206-26aa9226c3fd" targetNamespace="http://schemas.microsoft.com/office/2006/metadata/properties" ma:root="true" ma:fieldsID="a70d0f3b353fc9a1579895dc7c841e35" ns2:_="" ns3:_="">
    <xsd:import namespace="87f6f0d4-1538-402d-ab02-3f66b5ae8595"/>
    <xsd:import namespace="f8908da8-ead9-4d3d-9206-26aa9226c3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6f0d4-1538-402d-ab02-3f66b5ae8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08da8-ead9-4d3d-9206-26aa9226c3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471ad1-b0cc-4b41-86e0-6d886fbc8632}" ma:internalName="TaxCatchAll" ma:showField="CatchAllData" ma:web="f8908da8-ead9-4d3d-9206-26aa9226c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E9D3-0748-4829-8732-6E7000555CA2}">
  <ds:schemaRefs>
    <ds:schemaRef ds:uri="http://schemas.openxmlformats.org/package/2006/metadata/core-properties"/>
    <ds:schemaRef ds:uri="http://purl.org/dc/terms/"/>
    <ds:schemaRef ds:uri="http://purl.org/dc/elements/1.1/"/>
    <ds:schemaRef ds:uri="http://purl.org/dc/dcmitype/"/>
    <ds:schemaRef ds:uri="87f6f0d4-1538-402d-ab02-3f66b5ae8595"/>
    <ds:schemaRef ds:uri="http://schemas.microsoft.com/office/2006/documentManagement/types"/>
    <ds:schemaRef ds:uri="http://www.w3.org/XML/1998/namespace"/>
    <ds:schemaRef ds:uri="http://schemas.microsoft.com/office/infopath/2007/PartnerControls"/>
    <ds:schemaRef ds:uri="f8908da8-ead9-4d3d-9206-26aa9226c3fd"/>
    <ds:schemaRef ds:uri="http://schemas.microsoft.com/office/2006/metadata/properties"/>
  </ds:schemaRefs>
</ds:datastoreItem>
</file>

<file path=customXml/itemProps2.xml><?xml version="1.0" encoding="utf-8"?>
<ds:datastoreItem xmlns:ds="http://schemas.openxmlformats.org/officeDocument/2006/customXml" ds:itemID="{67D4E2C8-7949-48A9-B4EE-19CB70ABFA97}">
  <ds:schemaRefs>
    <ds:schemaRef ds:uri="http://schemas.microsoft.com/sharepoint/v3/contenttype/forms"/>
  </ds:schemaRefs>
</ds:datastoreItem>
</file>

<file path=customXml/itemProps3.xml><?xml version="1.0" encoding="utf-8"?>
<ds:datastoreItem xmlns:ds="http://schemas.openxmlformats.org/officeDocument/2006/customXml" ds:itemID="{CDC926A1-AF12-4123-A14D-42BC9CF9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6f0d4-1538-402d-ab02-3f66b5ae8595"/>
    <ds:schemaRef ds:uri="f8908da8-ead9-4d3d-9206-26aa9226c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1DB4D-7B20-4A66-B890-5C911CC1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018113_SustBldReq_v4HomesUSETHIS.dotx</Template>
  <TotalTime>1800</TotalTime>
  <Pages>15</Pages>
  <Words>5761</Words>
  <Characters>33503</Characters>
  <Application>Microsoft Office Word</Application>
  <DocSecurity>0</DocSecurity>
  <Lines>279</Lines>
  <Paragraphs>78</Paragraphs>
  <ScaleCrop>false</ScaleCrop>
  <Company>Callison Architecture, Inc.</Company>
  <LinksUpToDate>false</LinksUpToDate>
  <CharactersWithSpaces>39186</CharactersWithSpaces>
  <SharedDoc>false</SharedDoc>
  <HLinks>
    <vt:vector size="48" baseType="variant">
      <vt:variant>
        <vt:i4>5308434</vt:i4>
      </vt:variant>
      <vt:variant>
        <vt:i4>21</vt:i4>
      </vt:variant>
      <vt:variant>
        <vt:i4>0</vt:i4>
      </vt:variant>
      <vt:variant>
        <vt:i4>5</vt:i4>
      </vt:variant>
      <vt:variant>
        <vt:lpwstr>https://ejscreen.epa.gov/mapper/</vt:lpwstr>
      </vt:variant>
      <vt:variant>
        <vt:lpwstr/>
      </vt:variant>
      <vt:variant>
        <vt:i4>4194396</vt:i4>
      </vt:variant>
      <vt:variant>
        <vt:i4>18</vt:i4>
      </vt:variant>
      <vt:variant>
        <vt:i4>0</vt:i4>
      </vt:variant>
      <vt:variant>
        <vt:i4>5</vt:i4>
      </vt:variant>
      <vt:variant>
        <vt:lpwstr>https://exemplarybuilding.housingconsortium.org/wp-content/uploads/sites/2/2022/09/EBP-Guidelines-for-Water_-v.1.0_-2022.09.26.pdf</vt:lpwstr>
      </vt:variant>
      <vt:variant>
        <vt:lpwstr/>
      </vt:variant>
      <vt:variant>
        <vt:i4>2490469</vt:i4>
      </vt:variant>
      <vt:variant>
        <vt:i4>15</vt:i4>
      </vt:variant>
      <vt:variant>
        <vt:i4>0</vt:i4>
      </vt:variant>
      <vt:variant>
        <vt:i4>5</vt:i4>
      </vt:variant>
      <vt:variant>
        <vt:lpwstr>https://exemplarybuilding.housingconsortium.org/wp-content/uploads/sites/2/2022/10/HDC-EBP_-Guidelines-for-Wall-Assemblies_-v.1.1-October-2022.pdf</vt:lpwstr>
      </vt:variant>
      <vt:variant>
        <vt:lpwstr/>
      </vt:variant>
      <vt:variant>
        <vt:i4>7471135</vt:i4>
      </vt:variant>
      <vt:variant>
        <vt:i4>12</vt:i4>
      </vt:variant>
      <vt:variant>
        <vt:i4>0</vt:i4>
      </vt:variant>
      <vt:variant>
        <vt:i4>5</vt:i4>
      </vt:variant>
      <vt:variant>
        <vt:lpwstr>https://exemplarybuilding.housingconsortium.org/wp-content/uploads/sites/2/2021/01/HDC-EBP-Guidelines-for-Solar-Integration_-v.1.0.3-January-2021.pdf</vt:lpwstr>
      </vt:variant>
      <vt:variant>
        <vt:lpwstr/>
      </vt:variant>
      <vt:variant>
        <vt:i4>6619206</vt:i4>
      </vt:variant>
      <vt:variant>
        <vt:i4>9</vt:i4>
      </vt:variant>
      <vt:variant>
        <vt:i4>0</vt:i4>
      </vt:variant>
      <vt:variant>
        <vt:i4>5</vt:i4>
      </vt:variant>
      <vt:variant>
        <vt:lpwstr>https://exemplarybuilding.housingconsortium.org/wp-content/uploads/sites/2/2021/05/HDC-EBP-Guidelines-for-EID_-v.1.0-May-2021.pdf</vt:lpwstr>
      </vt:variant>
      <vt:variant>
        <vt:lpwstr/>
      </vt:variant>
      <vt:variant>
        <vt:i4>4849707</vt:i4>
      </vt:variant>
      <vt:variant>
        <vt:i4>6</vt:i4>
      </vt:variant>
      <vt:variant>
        <vt:i4>0</vt:i4>
      </vt:variant>
      <vt:variant>
        <vt:i4>5</vt:i4>
      </vt:variant>
      <vt:variant>
        <vt:lpwstr>https://exemplarybuilding.housingconsortium.org/wp-content/uploads/sites/2/2021/12/HDC-EBP-BVHR-Guidelines_-v.1.1-12.2021.pdf</vt:lpwstr>
      </vt:variant>
      <vt:variant>
        <vt:lpwstr/>
      </vt:variant>
      <vt:variant>
        <vt:i4>1376335</vt:i4>
      </vt:variant>
      <vt:variant>
        <vt:i4>3</vt:i4>
      </vt:variant>
      <vt:variant>
        <vt:i4>0</vt:i4>
      </vt:variant>
      <vt:variant>
        <vt:i4>5</vt:i4>
      </vt:variant>
      <vt:variant>
        <vt:lpwstr>https://www.usgbc.org/resources/leed-v4-homes-and-multifamily-midrise-current-version</vt:lpwstr>
      </vt:variant>
      <vt:variant>
        <vt:lpwstr/>
      </vt:variant>
      <vt:variant>
        <vt:i4>6160463</vt:i4>
      </vt:variant>
      <vt:variant>
        <vt:i4>0</vt:i4>
      </vt:variant>
      <vt:variant>
        <vt:i4>0</vt:i4>
      </vt:variant>
      <vt:variant>
        <vt:i4>5</vt:i4>
      </vt:variant>
      <vt:variant>
        <vt:lpwstr>https://exemplarybuilding.housingconsortium.org/our-results-practical-tools/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013546 – LEED CERTIFICATION PROCEDURES</dc:title>
  <dc:subject>LEED CERTIFICATION PROCEDURES</dc:subject>
  <dc:creator>Emma McKay</dc:creator>
  <cp:keywords>BAS-14355-MS80</cp:keywords>
  <cp:lastModifiedBy>David Reddy</cp:lastModifiedBy>
  <cp:revision>1092</cp:revision>
  <cp:lastPrinted>1998-09-24T16:32:00Z</cp:lastPrinted>
  <dcterms:created xsi:type="dcterms:W3CDTF">2022-03-31T18:07:00Z</dcterms:created>
  <dcterms:modified xsi:type="dcterms:W3CDTF">2023-06-06T16:24:00Z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0x010100C01DBE8321FE004A821C34615A74102F</vt:lpwstr>
  </property>
  <property fmtid="{D5CDD505-2E9C-101B-9397-08002B2CF9AE}" pid="3" name="MediaServiceImageTags">
    <vt:lpwstr/>
  </property>
</Properties>
</file>